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2BA8" w14:textId="60DCBBA5" w:rsidR="00055D64" w:rsidRPr="0069001E" w:rsidRDefault="00D66A0E" w:rsidP="00055D64">
      <w:pPr>
        <w:spacing w:after="240"/>
        <w:rPr>
          <w:rFonts w:ascii="-apple-system" w:hAnsi="-apple-system"/>
          <w:b/>
          <w:bCs/>
          <w:color w:val="333333"/>
          <w:sz w:val="26"/>
          <w:szCs w:val="28"/>
        </w:rPr>
      </w:pPr>
      <w:bookmarkStart w:id="0" w:name="_GoBack"/>
      <w:bookmarkEnd w:id="0"/>
      <w:r w:rsidRPr="0069001E">
        <w:rPr>
          <w:rFonts w:ascii="-apple-system" w:hAnsi="-apple-system"/>
          <w:b/>
          <w:bCs/>
          <w:color w:val="333333"/>
          <w:sz w:val="26"/>
          <w:szCs w:val="28"/>
        </w:rPr>
        <w:t xml:space="preserve">Genesis Initiative Submission to the </w:t>
      </w:r>
      <w:r w:rsidR="00055D64" w:rsidRPr="0069001E">
        <w:rPr>
          <w:rFonts w:ascii="-apple-system" w:hAnsi="-apple-system"/>
          <w:b/>
          <w:bCs/>
          <w:color w:val="333333"/>
          <w:sz w:val="26"/>
          <w:szCs w:val="28"/>
        </w:rPr>
        <w:t xml:space="preserve">10 Downing Street </w:t>
      </w:r>
      <w:r w:rsidRPr="0069001E">
        <w:rPr>
          <w:rFonts w:ascii="-apple-system" w:hAnsi="-apple-system"/>
          <w:b/>
          <w:bCs/>
          <w:color w:val="333333"/>
          <w:sz w:val="26"/>
          <w:szCs w:val="28"/>
        </w:rPr>
        <w:t>Policy Unit</w:t>
      </w:r>
    </w:p>
    <w:p w14:paraId="2574584B" w14:textId="60AF1310" w:rsidR="00C37C72" w:rsidRPr="00E94E08" w:rsidRDefault="008E0444" w:rsidP="00E94E08">
      <w:pPr>
        <w:spacing w:after="240"/>
        <w:rPr>
          <w:rFonts w:ascii="-apple-system" w:hAnsi="-apple-system"/>
          <w:b/>
          <w:bCs/>
          <w:color w:val="333333"/>
        </w:rPr>
      </w:pPr>
      <w:r w:rsidRPr="00E94E08">
        <w:rPr>
          <w:rFonts w:ascii="-apple-system" w:hAnsi="-apple-system"/>
          <w:b/>
          <w:bCs/>
          <w:color w:val="333333"/>
        </w:rPr>
        <w:t>IR 35</w:t>
      </w:r>
      <w:r w:rsidR="00B0037A" w:rsidRPr="00E94E08">
        <w:rPr>
          <w:rFonts w:ascii="-apple-system" w:hAnsi="-apple-system"/>
          <w:b/>
          <w:bCs/>
          <w:color w:val="333333"/>
        </w:rPr>
        <w:t xml:space="preserve"> – destroying </w:t>
      </w:r>
      <w:r w:rsidR="002279B7" w:rsidRPr="00E94E08">
        <w:rPr>
          <w:rFonts w:ascii="-apple-system" w:hAnsi="-apple-system"/>
          <w:b/>
          <w:bCs/>
          <w:color w:val="333333"/>
        </w:rPr>
        <w:t xml:space="preserve">flexible British SME expertise </w:t>
      </w:r>
    </w:p>
    <w:p w14:paraId="22EA8F16" w14:textId="665CA1C9" w:rsidR="0074531E" w:rsidRDefault="0074531E" w:rsidP="0074531E">
      <w:pPr>
        <w:rPr>
          <w:rFonts w:ascii="-apple-system" w:hAnsi="-apple-system"/>
          <w:b/>
          <w:bCs/>
          <w:color w:val="333333"/>
        </w:rPr>
      </w:pPr>
      <w:r w:rsidRPr="00C02DF6">
        <w:rPr>
          <w:rFonts w:ascii="-apple-system" w:hAnsi="-apple-system"/>
          <w:b/>
          <w:bCs/>
          <w:color w:val="333333"/>
        </w:rPr>
        <w:t>Problem</w:t>
      </w:r>
    </w:p>
    <w:p w14:paraId="0AB79615" w14:textId="77777777" w:rsidR="00C02DF6" w:rsidRDefault="00C02DF6" w:rsidP="0074531E">
      <w:pPr>
        <w:rPr>
          <w:rFonts w:ascii="Arial" w:hAnsi="Arial" w:cs="Arial"/>
          <w:sz w:val="20"/>
          <w:szCs w:val="20"/>
        </w:rPr>
      </w:pPr>
    </w:p>
    <w:p w14:paraId="197A0D39" w14:textId="468CF3F0" w:rsidR="00C37C72" w:rsidRPr="00F009ED" w:rsidRDefault="00C37C72" w:rsidP="00C37C72">
      <w:pPr>
        <w:rPr>
          <w:rFonts w:ascii="-apple-system" w:hAnsi="-apple-system"/>
          <w:color w:val="333333"/>
        </w:rPr>
      </w:pPr>
      <w:r w:rsidRPr="00F009ED">
        <w:rPr>
          <w:rFonts w:ascii="-apple-system" w:hAnsi="-apple-system"/>
          <w:color w:val="333333"/>
        </w:rPr>
        <w:t>For almost three decades, the UK has enjoyed a competitive advantage through its businesses being able to access vital flexible expertise they need to deliver projects and drive the economy forward</w:t>
      </w:r>
      <w:r w:rsidR="009826D3">
        <w:rPr>
          <w:rFonts w:ascii="-apple-system" w:hAnsi="-apple-system"/>
          <w:color w:val="333333"/>
        </w:rPr>
        <w:t>.</w:t>
      </w:r>
      <w:r w:rsidR="00A96F4B">
        <w:rPr>
          <w:rFonts w:ascii="-apple-system" w:hAnsi="-apple-system"/>
          <w:color w:val="333333"/>
        </w:rPr>
        <w:t xml:space="preserve"> </w:t>
      </w:r>
      <w:r w:rsidRPr="00F009ED">
        <w:rPr>
          <w:rFonts w:ascii="-apple-system" w:hAnsi="-apple-system"/>
          <w:color w:val="333333"/>
        </w:rPr>
        <w:t xml:space="preserve">The intermediaries’ legislation colloquially referred to as the IR35 tax rules (IR35) undergoes another major overhaul in April 2020. The impact of the changes </w:t>
      </w:r>
      <w:r w:rsidR="00562B0D" w:rsidRPr="00F009ED">
        <w:rPr>
          <w:rFonts w:ascii="-apple-system" w:hAnsi="-apple-system"/>
          <w:color w:val="333333"/>
        </w:rPr>
        <w:t>is</w:t>
      </w:r>
      <w:r w:rsidRPr="00F009ED">
        <w:rPr>
          <w:rFonts w:ascii="-apple-system" w:hAnsi="-apple-system"/>
          <w:color w:val="333333"/>
        </w:rPr>
        <w:t xml:space="preserve"> likely to be highly detrimental, particularly at a time when the UK economy needs to be nimble on its feet to deal with the potential opportunities and threats posed by Brexit.</w:t>
      </w:r>
    </w:p>
    <w:p w14:paraId="7A5A0DF5" w14:textId="77777777" w:rsidR="00C37C72" w:rsidRPr="00F009ED" w:rsidRDefault="00C37C72" w:rsidP="00C37C72">
      <w:pPr>
        <w:rPr>
          <w:rFonts w:ascii="-apple-system" w:hAnsi="-apple-system"/>
          <w:color w:val="333333"/>
        </w:rPr>
      </w:pPr>
    </w:p>
    <w:p w14:paraId="5D6DC4F9" w14:textId="555F3C65" w:rsidR="00C37C72" w:rsidRPr="00F009ED" w:rsidRDefault="00C37C72" w:rsidP="00C37C72">
      <w:pPr>
        <w:rPr>
          <w:rFonts w:ascii="-apple-system" w:hAnsi="-apple-system"/>
          <w:color w:val="333333"/>
        </w:rPr>
      </w:pPr>
      <w:r w:rsidRPr="00F009ED">
        <w:rPr>
          <w:rFonts w:ascii="-apple-system" w:hAnsi="-apple-system"/>
          <w:color w:val="333333"/>
        </w:rPr>
        <w:t xml:space="preserve">Freelancing is a valued business tool. At the top end, Interim management revolves around the provision of specialist resources and skills for a defined project or period. Clients can turn to Interim practitioners for their most complex and top-heavy roles, </w:t>
      </w:r>
      <w:bookmarkStart w:id="1" w:name="_Hlk21964666"/>
      <w:r w:rsidRPr="00F009ED">
        <w:rPr>
          <w:rFonts w:ascii="-apple-system" w:hAnsi="-apple-system"/>
          <w:color w:val="333333"/>
        </w:rPr>
        <w:t xml:space="preserve">using a proven heavyweight Interim executive </w:t>
      </w:r>
      <w:bookmarkEnd w:id="1"/>
      <w:r w:rsidRPr="00F009ED">
        <w:rPr>
          <w:rFonts w:ascii="-apple-system" w:hAnsi="-apple-system"/>
          <w:color w:val="333333"/>
        </w:rPr>
        <w:t>for a short-term assignment to manage a period of growth, transition, crisis or change within an organisation, including start-ups.</w:t>
      </w:r>
      <w:r w:rsidR="00860364">
        <w:rPr>
          <w:rFonts w:ascii="-apple-system" w:hAnsi="-apple-system"/>
          <w:color w:val="333333"/>
        </w:rPr>
        <w:t xml:space="preserve"> </w:t>
      </w:r>
      <w:r w:rsidRPr="00F009ED">
        <w:rPr>
          <w:rFonts w:ascii="-apple-system" w:hAnsi="-apple-system"/>
          <w:color w:val="333333"/>
        </w:rPr>
        <w:t>Similarly, Contractors skilled in a variety of disciplines across all business sectors can be engaged for defined projects to meet a particular need.</w:t>
      </w:r>
    </w:p>
    <w:p w14:paraId="572A78E5" w14:textId="77777777" w:rsidR="00C37C72" w:rsidRPr="00F009ED" w:rsidRDefault="00C37C72" w:rsidP="00C37C72">
      <w:pPr>
        <w:rPr>
          <w:rFonts w:ascii="-apple-system" w:hAnsi="-apple-system"/>
          <w:color w:val="333333"/>
        </w:rPr>
      </w:pPr>
    </w:p>
    <w:p w14:paraId="166686BE" w14:textId="3D844ED8" w:rsidR="00C37C72" w:rsidRPr="00D62EC2" w:rsidRDefault="00C37C72" w:rsidP="00C37C72">
      <w:pPr>
        <w:rPr>
          <w:rFonts w:ascii="-apple-system" w:hAnsi="-apple-system"/>
          <w:color w:val="333333"/>
        </w:rPr>
      </w:pPr>
      <w:r w:rsidRPr="00F009ED">
        <w:rPr>
          <w:rFonts w:ascii="-apple-system" w:hAnsi="-apple-system"/>
          <w:color w:val="333333"/>
        </w:rPr>
        <w:t xml:space="preserve">Freelancers are businesses on their own account and the vast majority operate through their own personal service companies (PSC). This structure currently enables Clients to engage and disengage a Freelancer at little or no notice. The PSC is an intermediary so, depending on circumstance, IR35 may apply; until April 2020 the Freelancer is primarily responsible for any tax liability if within IR35. </w:t>
      </w:r>
      <w:r w:rsidRPr="00D62EC2">
        <w:rPr>
          <w:rFonts w:ascii="-apple-system" w:hAnsi="-apple-system"/>
          <w:color w:val="333333"/>
        </w:rPr>
        <w:t>From April 2020 the Client is responsible for issuing a status determination statement (SDS) to say if IR35 applies. If it judges incorrectly that the rules do not apply, it becomes primarily responsible for any IR35 tax liability. Human nature suggests that Clients will be risk averse and likely to decide that most assignments will be inside IR35. The Freelancer may continue to work through their PSC and incur the same tax liability as if they were directly on the Client’s payroll but without any entitlement to employment benefits. Alternatively, they can decide not to use their PSC and go direct on the client’s payroll with employment benefits, but the Client has to change the nature of the contract to an employment contract.</w:t>
      </w:r>
    </w:p>
    <w:p w14:paraId="764BD94C" w14:textId="77777777" w:rsidR="00C37C72" w:rsidRDefault="00C37C72" w:rsidP="00C37C72">
      <w:pPr>
        <w:rPr>
          <w:rFonts w:ascii="Arial" w:hAnsi="Arial" w:cs="Arial"/>
          <w:sz w:val="20"/>
          <w:szCs w:val="20"/>
        </w:rPr>
      </w:pPr>
    </w:p>
    <w:p w14:paraId="4B1D3C99" w14:textId="6B7A3E28" w:rsidR="00C37C72" w:rsidRPr="00D62EC2" w:rsidRDefault="00C37C72" w:rsidP="00C37C72">
      <w:pPr>
        <w:rPr>
          <w:rFonts w:ascii="-apple-system" w:hAnsi="-apple-system"/>
          <w:color w:val="333333"/>
        </w:rPr>
      </w:pPr>
      <w:r w:rsidRPr="00D62EC2">
        <w:rPr>
          <w:rFonts w:ascii="-apple-system" w:hAnsi="-apple-system"/>
          <w:color w:val="333333"/>
        </w:rPr>
        <w:t xml:space="preserve">Either way, the SDSs issued are likely to put the Freelancer within IR35 even where there is no need, and, in essence, a “worker” tax is applied to a situation where there is a business, not a worker. The Freelancer will suffer a significant unnecessary additional tax burden, which is unlikely to be offset by increased day rates. </w:t>
      </w:r>
      <w:r w:rsidR="00285A26">
        <w:rPr>
          <w:rFonts w:ascii="-apple-system" w:hAnsi="-apple-system"/>
          <w:color w:val="333333"/>
        </w:rPr>
        <w:t xml:space="preserve">Many situations will be unclear. </w:t>
      </w:r>
      <w:r w:rsidRPr="00D62EC2">
        <w:rPr>
          <w:rFonts w:ascii="-apple-system" w:hAnsi="-apple-system"/>
          <w:color w:val="333333"/>
        </w:rPr>
        <w:t>A probable outcome is for more Freelancers to return to employment, resulting in a much less flexible workforce</w:t>
      </w:r>
      <w:r w:rsidR="00125CED">
        <w:rPr>
          <w:rStyle w:val="EndnoteReference"/>
          <w:rFonts w:ascii="-apple-system" w:hAnsi="-apple-system"/>
          <w:color w:val="333333"/>
        </w:rPr>
        <w:endnoteReference w:id="2"/>
      </w:r>
      <w:r w:rsidRPr="00D62EC2">
        <w:rPr>
          <w:rFonts w:ascii="-apple-system" w:hAnsi="-apple-system"/>
          <w:color w:val="333333"/>
        </w:rPr>
        <w:t>.</w:t>
      </w:r>
      <w:r w:rsidR="00125CED">
        <w:rPr>
          <w:rFonts w:ascii="-apple-system" w:hAnsi="-apple-system"/>
          <w:color w:val="333333"/>
        </w:rPr>
        <w:t xml:space="preserve"> </w:t>
      </w:r>
      <w:r w:rsidRPr="00D62EC2">
        <w:rPr>
          <w:rFonts w:ascii="-apple-system" w:hAnsi="-apple-system"/>
          <w:color w:val="333333"/>
        </w:rPr>
        <w:t>Two major high street banks have already announced that, going forward, they will only take on Freelancers working through their PSCs on the basis that the assignments are treated as within IR35. This blanket determination is a direct contravention of the rules to be applied after April 2020.</w:t>
      </w:r>
      <w:r w:rsidR="00CB6154">
        <w:rPr>
          <w:rFonts w:ascii="-apple-system" w:hAnsi="-apple-system"/>
          <w:color w:val="333333"/>
        </w:rPr>
        <w:t xml:space="preserve"> </w:t>
      </w:r>
    </w:p>
    <w:p w14:paraId="16C6976B" w14:textId="77777777" w:rsidR="00C37C72" w:rsidRDefault="00C37C72" w:rsidP="00C37C72">
      <w:pPr>
        <w:rPr>
          <w:rFonts w:ascii="Arial" w:hAnsi="Arial" w:cs="Arial"/>
          <w:b/>
          <w:bCs/>
          <w:sz w:val="20"/>
          <w:szCs w:val="20"/>
        </w:rPr>
      </w:pPr>
    </w:p>
    <w:p w14:paraId="5BABA4D5" w14:textId="70463367" w:rsidR="00C37C72" w:rsidRDefault="00C37C72" w:rsidP="00C37C72">
      <w:pPr>
        <w:rPr>
          <w:rFonts w:ascii="Arial" w:hAnsi="Arial" w:cs="Arial"/>
          <w:b/>
          <w:bCs/>
          <w:sz w:val="20"/>
          <w:szCs w:val="20"/>
        </w:rPr>
      </w:pPr>
      <w:r w:rsidRPr="00EC152F">
        <w:rPr>
          <w:rFonts w:ascii="Arial" w:hAnsi="Arial" w:cs="Arial"/>
          <w:b/>
          <w:bCs/>
          <w:sz w:val="20"/>
          <w:szCs w:val="20"/>
        </w:rPr>
        <w:t>Solution</w:t>
      </w:r>
      <w:r>
        <w:rPr>
          <w:rFonts w:ascii="Arial" w:hAnsi="Arial" w:cs="Arial"/>
          <w:b/>
          <w:bCs/>
          <w:sz w:val="20"/>
          <w:szCs w:val="20"/>
        </w:rPr>
        <w:t>s</w:t>
      </w:r>
    </w:p>
    <w:p w14:paraId="502EE323" w14:textId="31CCA522" w:rsidR="00D36CBD" w:rsidRDefault="00D36CBD" w:rsidP="00C37C72">
      <w:pPr>
        <w:rPr>
          <w:rFonts w:ascii="Arial" w:hAnsi="Arial" w:cs="Arial"/>
          <w:b/>
          <w:bCs/>
          <w:sz w:val="20"/>
          <w:szCs w:val="20"/>
        </w:rPr>
      </w:pPr>
    </w:p>
    <w:p w14:paraId="12E7E704" w14:textId="314596CF" w:rsidR="00D36CBD" w:rsidRPr="00697059" w:rsidRDefault="00470C14" w:rsidP="00C37C72">
      <w:pPr>
        <w:rPr>
          <w:rFonts w:ascii="-apple-system" w:hAnsi="-apple-system"/>
          <w:color w:val="333333"/>
        </w:rPr>
      </w:pPr>
      <w:r w:rsidRPr="00697059">
        <w:rPr>
          <w:rFonts w:ascii="-apple-system" w:hAnsi="-apple-system"/>
          <w:color w:val="333333"/>
        </w:rPr>
        <w:t>As part of Brexit planning</w:t>
      </w:r>
      <w:r w:rsidR="00336661" w:rsidRPr="00697059">
        <w:rPr>
          <w:rFonts w:ascii="-apple-system" w:hAnsi="-apple-system"/>
          <w:color w:val="333333"/>
        </w:rPr>
        <w:t>,</w:t>
      </w:r>
      <w:r w:rsidRPr="00697059">
        <w:rPr>
          <w:rFonts w:ascii="-apple-system" w:hAnsi="-apple-system"/>
          <w:color w:val="333333"/>
        </w:rPr>
        <w:t xml:space="preserve"> </w:t>
      </w:r>
      <w:r w:rsidR="00A55DE0" w:rsidRPr="00697059">
        <w:rPr>
          <w:rFonts w:ascii="-apple-system" w:hAnsi="-apple-system"/>
          <w:color w:val="333333"/>
        </w:rPr>
        <w:t xml:space="preserve">further implementation </w:t>
      </w:r>
      <w:r w:rsidR="004F2ED5">
        <w:rPr>
          <w:rFonts w:ascii="-apple-system" w:hAnsi="-apple-system"/>
          <w:color w:val="333333"/>
        </w:rPr>
        <w:t>of</w:t>
      </w:r>
      <w:r w:rsidR="004F2ED5" w:rsidRPr="00697059">
        <w:rPr>
          <w:rFonts w:ascii="-apple-system" w:hAnsi="-apple-system"/>
          <w:color w:val="333333"/>
        </w:rPr>
        <w:t xml:space="preserve"> </w:t>
      </w:r>
      <w:r w:rsidR="004C6475" w:rsidRPr="00697059">
        <w:rPr>
          <w:rFonts w:ascii="-apple-system" w:hAnsi="-apple-system"/>
          <w:color w:val="333333"/>
        </w:rPr>
        <w:t xml:space="preserve">the above changes to IR 35 should be </w:t>
      </w:r>
      <w:r w:rsidR="00D309EE" w:rsidRPr="00697059">
        <w:rPr>
          <w:rFonts w:ascii="-apple-system" w:hAnsi="-apple-system"/>
          <w:color w:val="333333"/>
        </w:rPr>
        <w:t xml:space="preserve">suspended for at least </w:t>
      </w:r>
      <w:r w:rsidR="005743B6" w:rsidRPr="00697059">
        <w:rPr>
          <w:rFonts w:ascii="-apple-system" w:hAnsi="-apple-system"/>
          <w:color w:val="333333"/>
        </w:rPr>
        <w:t>3 years</w:t>
      </w:r>
      <w:r w:rsidR="00D57DCA" w:rsidRPr="00697059">
        <w:rPr>
          <w:rFonts w:ascii="-apple-system" w:hAnsi="-apple-system"/>
          <w:color w:val="333333"/>
        </w:rPr>
        <w:t xml:space="preserve"> to ensure </w:t>
      </w:r>
      <w:r w:rsidR="00B14B27" w:rsidRPr="00697059">
        <w:rPr>
          <w:rFonts w:ascii="-apple-system" w:hAnsi="-apple-system"/>
          <w:color w:val="333333"/>
        </w:rPr>
        <w:t xml:space="preserve">flexible </w:t>
      </w:r>
      <w:r w:rsidR="00C31818" w:rsidRPr="00697059">
        <w:rPr>
          <w:rFonts w:ascii="-apple-system" w:hAnsi="-apple-system"/>
          <w:color w:val="333333"/>
        </w:rPr>
        <w:t xml:space="preserve">SME </w:t>
      </w:r>
      <w:r w:rsidR="00B14B27" w:rsidRPr="00697059">
        <w:rPr>
          <w:rFonts w:ascii="-apple-system" w:hAnsi="-apple-system"/>
          <w:color w:val="333333"/>
        </w:rPr>
        <w:t>contracting expertise is available competitively</w:t>
      </w:r>
      <w:r w:rsidR="00C31818" w:rsidRPr="00697059">
        <w:rPr>
          <w:rFonts w:ascii="-apple-system" w:hAnsi="-apple-system"/>
          <w:color w:val="333333"/>
        </w:rPr>
        <w:t xml:space="preserve"> to the UK economy</w:t>
      </w:r>
      <w:r w:rsidR="00FB1A0C" w:rsidRPr="00697059">
        <w:rPr>
          <w:rFonts w:ascii="-apple-system" w:hAnsi="-apple-system"/>
          <w:color w:val="333333"/>
        </w:rPr>
        <w:t xml:space="preserve">. </w:t>
      </w:r>
      <w:r w:rsidR="004C068C" w:rsidRPr="00697059">
        <w:rPr>
          <w:rFonts w:ascii="-apple-system" w:hAnsi="-apple-system"/>
          <w:color w:val="333333"/>
        </w:rPr>
        <w:t>At</w:t>
      </w:r>
      <w:r w:rsidR="00667514" w:rsidRPr="00697059">
        <w:rPr>
          <w:rFonts w:ascii="-apple-system" w:hAnsi="-apple-system"/>
          <w:color w:val="333333"/>
        </w:rPr>
        <w:t xml:space="preserve"> the same time a </w:t>
      </w:r>
      <w:r w:rsidR="00697059" w:rsidRPr="00697059">
        <w:rPr>
          <w:rFonts w:ascii="-apple-system" w:hAnsi="-apple-system"/>
          <w:color w:val="333333"/>
        </w:rPr>
        <w:t>research-based</w:t>
      </w:r>
      <w:r w:rsidR="00073841" w:rsidRPr="00697059">
        <w:rPr>
          <w:rFonts w:ascii="-apple-system" w:hAnsi="-apple-system"/>
          <w:color w:val="333333"/>
        </w:rPr>
        <w:t xml:space="preserve"> review should compare the costs and benefits of employment as against contracting</w:t>
      </w:r>
      <w:r w:rsidR="00B77346" w:rsidRPr="00697059">
        <w:rPr>
          <w:rFonts w:ascii="-apple-system" w:hAnsi="-apple-system"/>
          <w:color w:val="333333"/>
        </w:rPr>
        <w:t>.</w:t>
      </w:r>
      <w:r w:rsidR="00355A6B" w:rsidRPr="00697059">
        <w:rPr>
          <w:rFonts w:ascii="-apple-system" w:hAnsi="-apple-system"/>
          <w:color w:val="333333"/>
        </w:rPr>
        <w:t xml:space="preserve"> </w:t>
      </w:r>
      <w:r w:rsidR="00423FF2" w:rsidRPr="00697059">
        <w:rPr>
          <w:rFonts w:ascii="-apple-system" w:hAnsi="-apple-system"/>
          <w:color w:val="333333"/>
        </w:rPr>
        <w:t xml:space="preserve">We suspect that </w:t>
      </w:r>
      <w:r w:rsidR="00E04D95" w:rsidRPr="00697059">
        <w:rPr>
          <w:rFonts w:ascii="-apple-system" w:hAnsi="-apple-system"/>
          <w:color w:val="333333"/>
        </w:rPr>
        <w:t xml:space="preserve">this could lead government to create a level playing field by giving </w:t>
      </w:r>
      <w:r w:rsidR="003F5D90" w:rsidRPr="00697059">
        <w:rPr>
          <w:rFonts w:ascii="-apple-system" w:hAnsi="-apple-system"/>
          <w:color w:val="333333"/>
        </w:rPr>
        <w:t xml:space="preserve">contracting businesses within IR 35 </w:t>
      </w:r>
      <w:r w:rsidR="00D51F89" w:rsidRPr="00697059">
        <w:rPr>
          <w:rFonts w:ascii="-apple-system" w:hAnsi="-apple-system"/>
          <w:color w:val="333333"/>
        </w:rPr>
        <w:t>an initial start up exemption to recognise the</w:t>
      </w:r>
      <w:r w:rsidR="00C749B0" w:rsidRPr="00697059">
        <w:rPr>
          <w:rFonts w:ascii="-apple-system" w:hAnsi="-apple-system"/>
          <w:color w:val="333333"/>
        </w:rPr>
        <w:t xml:space="preserve"> initial</w:t>
      </w:r>
      <w:r w:rsidR="00D51F89" w:rsidRPr="00697059">
        <w:rPr>
          <w:rFonts w:ascii="-apple-system" w:hAnsi="-apple-system"/>
          <w:color w:val="333333"/>
        </w:rPr>
        <w:t xml:space="preserve"> risks </w:t>
      </w:r>
      <w:r w:rsidR="00C749B0" w:rsidRPr="00697059">
        <w:rPr>
          <w:rFonts w:ascii="-apple-system" w:hAnsi="-apple-system"/>
          <w:color w:val="333333"/>
        </w:rPr>
        <w:t xml:space="preserve">of contracting </w:t>
      </w:r>
      <w:r w:rsidR="00F375DD" w:rsidRPr="00697059">
        <w:rPr>
          <w:rFonts w:ascii="-apple-system" w:hAnsi="-apple-system"/>
          <w:color w:val="333333"/>
        </w:rPr>
        <w:t>and to encourage the progression that would lead to job creation</w:t>
      </w:r>
      <w:r w:rsidR="00B24BB3" w:rsidRPr="00697059">
        <w:rPr>
          <w:rFonts w:ascii="-apple-system" w:hAnsi="-apple-system"/>
          <w:color w:val="333333"/>
        </w:rPr>
        <w:t xml:space="preserve">. The review is required to deal objectively with </w:t>
      </w:r>
      <w:r w:rsidR="00B742AC" w:rsidRPr="00697059">
        <w:rPr>
          <w:rFonts w:ascii="-apple-system" w:hAnsi="-apple-system"/>
          <w:color w:val="333333"/>
        </w:rPr>
        <w:t>issue</w:t>
      </w:r>
      <w:r w:rsidR="00856A8C" w:rsidRPr="00697059">
        <w:rPr>
          <w:rFonts w:ascii="-apple-system" w:hAnsi="-apple-system"/>
          <w:color w:val="333333"/>
        </w:rPr>
        <w:t xml:space="preserve"> of fairness</w:t>
      </w:r>
      <w:r w:rsidR="00D0558D" w:rsidRPr="00697059">
        <w:rPr>
          <w:rFonts w:ascii="-apple-system" w:hAnsi="-apple-system"/>
          <w:color w:val="333333"/>
        </w:rPr>
        <w:t xml:space="preserve">, since </w:t>
      </w:r>
      <w:r w:rsidR="00A72179" w:rsidRPr="00697059">
        <w:rPr>
          <w:rFonts w:ascii="-apple-system" w:hAnsi="-apple-system"/>
          <w:color w:val="333333"/>
        </w:rPr>
        <w:t xml:space="preserve">it was the </w:t>
      </w:r>
      <w:r w:rsidR="000E1AAC" w:rsidRPr="00697059">
        <w:rPr>
          <w:rFonts w:ascii="-apple-system" w:hAnsi="-apple-system"/>
          <w:color w:val="333333"/>
        </w:rPr>
        <w:t xml:space="preserve">unfair </w:t>
      </w:r>
      <w:r w:rsidR="00A72179" w:rsidRPr="00697059">
        <w:rPr>
          <w:rFonts w:ascii="-apple-system" w:hAnsi="-apple-system"/>
          <w:color w:val="333333"/>
        </w:rPr>
        <w:t xml:space="preserve">abuse of contracting relationships by </w:t>
      </w:r>
      <w:r w:rsidR="00FD1E4F">
        <w:rPr>
          <w:rFonts w:ascii="-apple-system" w:hAnsi="-apple-system"/>
          <w:color w:val="333333"/>
        </w:rPr>
        <w:t xml:space="preserve">some </w:t>
      </w:r>
      <w:r w:rsidR="00E22DE9" w:rsidRPr="00697059">
        <w:rPr>
          <w:rFonts w:ascii="-apple-system" w:hAnsi="-apple-system"/>
          <w:color w:val="333333"/>
        </w:rPr>
        <w:t xml:space="preserve">former </w:t>
      </w:r>
      <w:r w:rsidR="00A72179" w:rsidRPr="00697059">
        <w:rPr>
          <w:rFonts w:ascii="-apple-system" w:hAnsi="-apple-system"/>
          <w:color w:val="333333"/>
        </w:rPr>
        <w:t xml:space="preserve">public sector </w:t>
      </w:r>
      <w:r w:rsidR="00E22DE9" w:rsidRPr="00697059">
        <w:rPr>
          <w:rFonts w:ascii="-apple-system" w:hAnsi="-apple-system"/>
          <w:color w:val="333333"/>
        </w:rPr>
        <w:t>employees</w:t>
      </w:r>
      <w:r w:rsidR="000E1AAC" w:rsidRPr="00697059">
        <w:rPr>
          <w:rFonts w:ascii="-apple-system" w:hAnsi="-apple-system"/>
          <w:color w:val="333333"/>
        </w:rPr>
        <w:t xml:space="preserve">, which </w:t>
      </w:r>
      <w:r w:rsidR="00E62E9A" w:rsidRPr="00697059">
        <w:rPr>
          <w:rFonts w:ascii="-apple-system" w:hAnsi="-apple-system"/>
          <w:color w:val="333333"/>
        </w:rPr>
        <w:t>provoked</w:t>
      </w:r>
      <w:r w:rsidR="000E1AAC" w:rsidRPr="00697059">
        <w:rPr>
          <w:rFonts w:ascii="-apple-system" w:hAnsi="-apple-system"/>
          <w:color w:val="333333"/>
        </w:rPr>
        <w:t xml:space="preserve"> IR 35</w:t>
      </w:r>
      <w:r w:rsidR="00E62E9A" w:rsidRPr="00697059">
        <w:rPr>
          <w:rFonts w:ascii="-apple-system" w:hAnsi="-apple-system"/>
          <w:color w:val="333333"/>
        </w:rPr>
        <w:t>.</w:t>
      </w:r>
      <w:r w:rsidR="00A72179" w:rsidRPr="00697059">
        <w:rPr>
          <w:rFonts w:ascii="-apple-system" w:hAnsi="-apple-system"/>
          <w:color w:val="333333"/>
        </w:rPr>
        <w:t xml:space="preserve"> </w:t>
      </w:r>
      <w:r w:rsidR="00E62E9A" w:rsidRPr="00697059">
        <w:rPr>
          <w:rFonts w:ascii="-apple-system" w:hAnsi="-apple-system"/>
          <w:color w:val="333333"/>
        </w:rPr>
        <w:t>The situation in the private sector is different</w:t>
      </w:r>
      <w:r w:rsidR="00697059" w:rsidRPr="00697059">
        <w:rPr>
          <w:rFonts w:ascii="-apple-system" w:hAnsi="-apple-system"/>
          <w:color w:val="333333"/>
        </w:rPr>
        <w:t>.</w:t>
      </w:r>
      <w:r w:rsidR="00E62E9A" w:rsidRPr="00697059">
        <w:rPr>
          <w:rFonts w:ascii="-apple-system" w:hAnsi="-apple-system"/>
          <w:color w:val="333333"/>
        </w:rPr>
        <w:t xml:space="preserve"> </w:t>
      </w:r>
    </w:p>
    <w:p w14:paraId="30348B13" w14:textId="77777777" w:rsidR="00C37C72" w:rsidRDefault="00C37C72" w:rsidP="00C37C72">
      <w:pPr>
        <w:rPr>
          <w:rFonts w:ascii="Arial" w:hAnsi="Arial" w:cs="Arial"/>
          <w:sz w:val="20"/>
          <w:szCs w:val="20"/>
        </w:rPr>
      </w:pPr>
    </w:p>
    <w:sectPr w:rsidR="00C37C72" w:rsidSect="00055D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4447" w14:textId="77777777" w:rsidR="00225EA1" w:rsidRDefault="00225EA1" w:rsidP="003255CC">
      <w:r>
        <w:separator/>
      </w:r>
    </w:p>
  </w:endnote>
  <w:endnote w:type="continuationSeparator" w:id="0">
    <w:p w14:paraId="1C829076" w14:textId="77777777" w:rsidR="00225EA1" w:rsidRDefault="00225EA1" w:rsidP="003255CC">
      <w:r>
        <w:continuationSeparator/>
      </w:r>
    </w:p>
  </w:endnote>
  <w:endnote w:type="continuationNotice" w:id="1">
    <w:p w14:paraId="3242C072" w14:textId="77777777" w:rsidR="00225EA1" w:rsidRDefault="00225EA1"/>
  </w:endnote>
  <w:endnote w:id="2">
    <w:p w14:paraId="4520287B" w14:textId="77777777" w:rsidR="00125CED" w:rsidRPr="00B67727" w:rsidRDefault="00125CED" w:rsidP="00125CED">
      <w:pPr>
        <w:rPr>
          <w:rFonts w:ascii="-apple-system" w:hAnsi="-apple-system"/>
          <w:color w:val="333333"/>
          <w:sz w:val="20"/>
          <w:szCs w:val="20"/>
        </w:rPr>
      </w:pPr>
      <w:r>
        <w:rPr>
          <w:rStyle w:val="EndnoteReference"/>
        </w:rPr>
        <w:endnoteRef/>
      </w:r>
      <w:r>
        <w:t xml:space="preserve"> </w:t>
      </w:r>
      <w:r w:rsidRPr="00B67727">
        <w:rPr>
          <w:rFonts w:ascii="-apple-system" w:hAnsi="-apple-system"/>
          <w:color w:val="333333"/>
          <w:sz w:val="20"/>
          <w:szCs w:val="20"/>
        </w:rPr>
        <w:t>HMRC has developed the ‘Check Employment Status for Tax’ online tool ​(CEST) to help determine whether someone is self-employed or an employee for tax purposes. There are several problems with this tool:</w:t>
      </w:r>
    </w:p>
    <w:p w14:paraId="7DBDD0BE" w14:textId="77777777" w:rsidR="00125CED" w:rsidRPr="00B67727" w:rsidRDefault="00125CED" w:rsidP="00B67727">
      <w:pPr>
        <w:rPr>
          <w:rFonts w:ascii="-apple-system" w:hAnsi="-apple-system"/>
          <w:color w:val="333333"/>
          <w:sz w:val="20"/>
          <w:szCs w:val="20"/>
        </w:rPr>
      </w:pPr>
      <w:r w:rsidRPr="00B67727">
        <w:rPr>
          <w:rFonts w:ascii="-apple-system" w:hAnsi="-apple-system"/>
          <w:color w:val="333333"/>
          <w:sz w:val="20"/>
          <w:szCs w:val="20"/>
        </w:rPr>
        <w:t>When tested against the facts of a number of cases decided as outside IR35 by the appeal courts, in a significant number of instances the tool did not give the same result.</w:t>
      </w:r>
    </w:p>
    <w:p w14:paraId="75FE15F6" w14:textId="3D28B8AC" w:rsidR="00125CED" w:rsidRPr="00B67727" w:rsidRDefault="00125CED" w:rsidP="00B67727">
      <w:pPr>
        <w:rPr>
          <w:rFonts w:ascii="-apple-system" w:hAnsi="-apple-system"/>
          <w:color w:val="333333"/>
          <w:sz w:val="20"/>
          <w:szCs w:val="20"/>
        </w:rPr>
      </w:pPr>
      <w:r w:rsidRPr="00B67727">
        <w:rPr>
          <w:rFonts w:ascii="-apple-system" w:hAnsi="-apple-system"/>
          <w:color w:val="333333"/>
          <w:sz w:val="20"/>
          <w:szCs w:val="20"/>
        </w:rPr>
        <w:t xml:space="preserve">The tool is testing working </w:t>
      </w:r>
      <w:r w:rsidR="00562B0D" w:rsidRPr="00B67727">
        <w:rPr>
          <w:rFonts w:ascii="-apple-system" w:hAnsi="-apple-system"/>
          <w:color w:val="333333"/>
          <w:sz w:val="20"/>
          <w:szCs w:val="20"/>
        </w:rPr>
        <w:t>practices but</w:t>
      </w:r>
      <w:r w:rsidRPr="00B67727">
        <w:rPr>
          <w:rFonts w:ascii="-apple-system" w:hAnsi="-apple-system"/>
          <w:color w:val="333333"/>
          <w:sz w:val="20"/>
          <w:szCs w:val="20"/>
        </w:rPr>
        <w:t xml:space="preserve"> has to be used before work starts. As a result, many questions are “what ifs” to be answered without reference to reality</w:t>
      </w:r>
    </w:p>
    <w:p w14:paraId="2F9D71D5" w14:textId="7E31873B" w:rsidR="00125CED" w:rsidRPr="00B67727" w:rsidRDefault="00125CED" w:rsidP="00B67727">
      <w:pPr>
        <w:rPr>
          <w:rFonts w:ascii="-apple-system" w:hAnsi="-apple-system"/>
          <w:color w:val="333333"/>
          <w:sz w:val="20"/>
          <w:szCs w:val="20"/>
        </w:rPr>
      </w:pPr>
      <w:r w:rsidRPr="00B67727">
        <w:rPr>
          <w:rFonts w:ascii="-apple-system" w:hAnsi="-apple-system"/>
          <w:color w:val="333333"/>
          <w:sz w:val="20"/>
          <w:szCs w:val="20"/>
        </w:rPr>
        <w:t>A person who is an “Officer” of a Client company is automatically defined as an employee. Interims in particular require suitably senior authority to manage growth/transition/crisis/change and are unlikely to be able to achieve this if not a Director.</w:t>
      </w:r>
    </w:p>
    <w:p w14:paraId="4D1DCDE1" w14:textId="77777777" w:rsidR="00A53A86" w:rsidRPr="00B67727" w:rsidRDefault="00A53A86" w:rsidP="00B67727">
      <w:pPr>
        <w:rPr>
          <w:rFonts w:ascii="-apple-system" w:hAnsi="-apple-system"/>
          <w:color w:val="333333"/>
          <w:sz w:val="20"/>
          <w:szCs w:val="20"/>
        </w:rPr>
      </w:pPr>
    </w:p>
    <w:p w14:paraId="54FD13A0" w14:textId="77777777" w:rsidR="00A53A86" w:rsidRPr="00B67727" w:rsidRDefault="00A53A86" w:rsidP="00A53A86">
      <w:pPr>
        <w:rPr>
          <w:rFonts w:ascii="-apple-system" w:hAnsi="-apple-system"/>
          <w:color w:val="333333"/>
          <w:sz w:val="20"/>
          <w:szCs w:val="20"/>
        </w:rPr>
      </w:pPr>
      <w:r w:rsidRPr="00B67727">
        <w:rPr>
          <w:rFonts w:ascii="-apple-system" w:hAnsi="-apple-system"/>
          <w:color w:val="333333"/>
          <w:sz w:val="20"/>
          <w:szCs w:val="20"/>
        </w:rPr>
        <w:t xml:space="preserve">Contractors become Directors of their Clients not as an end in itself but as something incidental to the task they have to complete. Where the appointment as a Director is not in the normal course of business but is for an alternative purpose, the Interim should not automatically be defined as an employee. </w:t>
      </w:r>
    </w:p>
    <w:p w14:paraId="4BAF7D17" w14:textId="1BDB3F82" w:rsidR="00125CED" w:rsidRDefault="00125C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CE44" w14:textId="77777777" w:rsidR="00FE193D" w:rsidRDefault="00FE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11364"/>
      <w:docPartObj>
        <w:docPartGallery w:val="Page Numbers (Bottom of Page)"/>
        <w:docPartUnique/>
      </w:docPartObj>
    </w:sdtPr>
    <w:sdtEndPr>
      <w:rPr>
        <w:noProof/>
      </w:rPr>
    </w:sdtEndPr>
    <w:sdtContent>
      <w:p w14:paraId="440418D9" w14:textId="77777777" w:rsidR="0003799C" w:rsidRDefault="0003799C">
        <w:pPr>
          <w:pStyle w:val="Footer"/>
          <w:jc w:val="right"/>
        </w:pPr>
        <w:r>
          <w:fldChar w:fldCharType="begin"/>
        </w:r>
        <w:r>
          <w:instrText xml:space="preserve"> PAGE   \* MERGEFORMAT </w:instrText>
        </w:r>
        <w:r>
          <w:fldChar w:fldCharType="separate"/>
        </w:r>
        <w:r w:rsidR="00AB43F2">
          <w:rPr>
            <w:noProof/>
          </w:rPr>
          <w:t>5</w:t>
        </w:r>
        <w:r>
          <w:rPr>
            <w:noProof/>
          </w:rPr>
          <w:fldChar w:fldCharType="end"/>
        </w:r>
      </w:p>
    </w:sdtContent>
  </w:sdt>
  <w:p w14:paraId="6C3A13BF" w14:textId="77777777" w:rsidR="003255CC" w:rsidRDefault="00325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1140"/>
      <w:docPartObj>
        <w:docPartGallery w:val="Page Numbers (Bottom of Page)"/>
        <w:docPartUnique/>
      </w:docPartObj>
    </w:sdtPr>
    <w:sdtEndPr>
      <w:rPr>
        <w:noProof/>
      </w:rPr>
    </w:sdtEndPr>
    <w:sdtContent>
      <w:p w14:paraId="6DA631F0" w14:textId="77777777" w:rsidR="00581C35" w:rsidRDefault="00581C35" w:rsidP="00581C35">
        <w:pPr>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DAVID HARVEY – CONSUTANT CHIEF EXECUTIVE</w:t>
        </w:r>
        <w:r w:rsidR="002A1217">
          <w:rPr>
            <w:rFonts w:ascii="Arial" w:eastAsiaTheme="minorEastAsia" w:hAnsi="Arial" w:cs="Arial"/>
            <w:b/>
            <w:bCs/>
            <w:noProof/>
            <w:color w:val="9BBB59"/>
            <w:sz w:val="18"/>
            <w:szCs w:val="18"/>
            <w:lang w:val="en-US" w:eastAsia="en-GB"/>
          </w:rPr>
          <w:t xml:space="preserve"> </w:t>
        </w:r>
        <w:r>
          <w:rPr>
            <w:rFonts w:ascii="Arial" w:eastAsiaTheme="minorEastAsia" w:hAnsi="Arial" w:cs="Arial"/>
            <w:b/>
            <w:bCs/>
            <w:noProof/>
            <w:color w:val="9BBB59"/>
            <w:sz w:val="18"/>
            <w:szCs w:val="18"/>
            <w:lang w:val="en-US" w:eastAsia="en-GB"/>
          </w:rPr>
          <w:t>07501 207557</w:t>
        </w:r>
      </w:p>
      <w:p w14:paraId="1BD6C751" w14:textId="77777777" w:rsidR="00581C35" w:rsidRDefault="00581C35" w:rsidP="00581C35">
        <w:pPr>
          <w:rPr>
            <w:rFonts w:ascii="Arial" w:eastAsiaTheme="minorEastAsia" w:hAnsi="Arial" w:cs="Arial"/>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CORRESPONDENCE ADDRESS:  </w:t>
        </w:r>
        <w:r w:rsidRPr="00AB4716">
          <w:rPr>
            <w:rFonts w:ascii="Arial" w:eastAsiaTheme="minorEastAsia" w:hAnsi="Arial" w:cs="Arial"/>
            <w:bCs/>
            <w:noProof/>
            <w:color w:val="9BBB59"/>
            <w:sz w:val="18"/>
            <w:szCs w:val="18"/>
            <w:lang w:val="en-US" w:eastAsia="en-GB"/>
          </w:rPr>
          <w:t>19 WESTMINSTER GARDENS</w:t>
        </w:r>
        <w:r w:rsidR="00FE193D">
          <w:rPr>
            <w:rFonts w:ascii="Arial" w:eastAsiaTheme="minorEastAsia" w:hAnsi="Arial" w:cs="Arial"/>
            <w:b/>
            <w:bCs/>
            <w:noProof/>
            <w:color w:val="9BBB59"/>
            <w:sz w:val="18"/>
            <w:szCs w:val="18"/>
            <w:lang w:val="en-US" w:eastAsia="en-GB"/>
          </w:rPr>
          <w:t xml:space="preserve">, </w:t>
        </w:r>
        <w:r w:rsidRPr="00AB4716">
          <w:rPr>
            <w:rFonts w:ascii="Arial" w:eastAsiaTheme="minorEastAsia" w:hAnsi="Arial" w:cs="Arial"/>
            <w:bCs/>
            <w:noProof/>
            <w:color w:val="9BBB59"/>
            <w:sz w:val="18"/>
            <w:szCs w:val="18"/>
            <w:lang w:val="en-US" w:eastAsia="en-GB"/>
          </w:rPr>
          <w:t>MARSHAM STREET</w:t>
        </w:r>
        <w:r w:rsidR="00FE193D">
          <w:rPr>
            <w:rFonts w:ascii="Arial" w:eastAsiaTheme="minorEastAsia" w:hAnsi="Arial" w:cs="Arial"/>
            <w:bCs/>
            <w:noProof/>
            <w:color w:val="9BBB59"/>
            <w:sz w:val="18"/>
            <w:szCs w:val="18"/>
            <w:lang w:val="en-US" w:eastAsia="en-GB"/>
          </w:rPr>
          <w:t>,</w:t>
        </w:r>
        <w:r w:rsidRPr="00AB4716">
          <w:rPr>
            <w:rFonts w:ascii="Arial" w:eastAsiaTheme="minorEastAsia" w:hAnsi="Arial" w:cs="Arial"/>
            <w:bCs/>
            <w:noProof/>
            <w:color w:val="9BBB59"/>
            <w:sz w:val="18"/>
            <w:szCs w:val="18"/>
            <w:lang w:val="en-US" w:eastAsia="en-GB"/>
          </w:rPr>
          <w:t xml:space="preserve"> LONDON SW1P 4JD</w:t>
        </w:r>
      </w:p>
      <w:p w14:paraId="19A91D1C" w14:textId="77777777" w:rsidR="006619F7" w:rsidRDefault="006619F7" w:rsidP="006619F7">
        <w:pPr>
          <w:rPr>
            <w:rFonts w:eastAsiaTheme="minorEastAsia"/>
            <w:noProof/>
            <w:sz w:val="16"/>
            <w:szCs w:val="16"/>
            <w:lang w:eastAsia="en-GB"/>
          </w:rPr>
        </w:pPr>
        <w:r>
          <w:rPr>
            <w:rFonts w:eastAsiaTheme="minorEastAsia"/>
            <w:noProof/>
            <w:sz w:val="16"/>
            <w:szCs w:val="16"/>
            <w:lang w:eastAsia="en-GB"/>
          </w:rPr>
          <w:t>The Genesis Initiative, Curzon House, Church Road, Windlesham, Surrey GU20 6BH Tel 01276 452010</w:t>
        </w:r>
      </w:p>
      <w:p w14:paraId="07CE74DF" w14:textId="77777777" w:rsidR="00FE193D" w:rsidRDefault="00FE193D" w:rsidP="00581C35">
        <w:pPr>
          <w:rPr>
            <w:rFonts w:ascii="Arial" w:eastAsiaTheme="minorEastAsia" w:hAnsi="Arial" w:cs="Arial"/>
            <w:bCs/>
            <w:noProof/>
            <w:color w:val="9BBB59"/>
            <w:sz w:val="18"/>
            <w:szCs w:val="18"/>
            <w:lang w:val="en-US" w:eastAsia="en-GB"/>
          </w:rPr>
        </w:pPr>
      </w:p>
      <w:p w14:paraId="16663D3F" w14:textId="77777777" w:rsidR="00FE193D" w:rsidRPr="00FE193D" w:rsidRDefault="00FE193D" w:rsidP="00581C35">
        <w:pPr>
          <w:rPr>
            <w:rFonts w:ascii="Arial" w:eastAsiaTheme="minorEastAsia" w:hAnsi="Arial" w:cs="Arial"/>
            <w:b/>
            <w:bCs/>
            <w:noProof/>
            <w:color w:val="9BBB59"/>
            <w:sz w:val="18"/>
            <w:szCs w:val="18"/>
            <w:lang w:val="en-US" w:eastAsia="en-GB"/>
          </w:rPr>
        </w:pPr>
      </w:p>
      <w:p w14:paraId="6B485022" w14:textId="77777777" w:rsidR="0003799C" w:rsidRDefault="00FE193D" w:rsidP="00FE193D">
        <w:pPr>
          <w:pStyle w:val="Footer"/>
          <w:tabs>
            <w:tab w:val="clear" w:pos="4513"/>
            <w:tab w:val="clear" w:pos="9026"/>
            <w:tab w:val="left" w:pos="5220"/>
          </w:tabs>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AE60" w14:textId="77777777" w:rsidR="00225EA1" w:rsidRDefault="00225EA1" w:rsidP="003255CC">
      <w:r>
        <w:separator/>
      </w:r>
    </w:p>
  </w:footnote>
  <w:footnote w:type="continuationSeparator" w:id="0">
    <w:p w14:paraId="29E76185" w14:textId="77777777" w:rsidR="00225EA1" w:rsidRDefault="00225EA1" w:rsidP="003255CC">
      <w:r>
        <w:continuationSeparator/>
      </w:r>
    </w:p>
  </w:footnote>
  <w:footnote w:type="continuationNotice" w:id="1">
    <w:p w14:paraId="6775D4EE" w14:textId="77777777" w:rsidR="00225EA1" w:rsidRDefault="0022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7D8D" w14:textId="77777777" w:rsidR="00FE193D" w:rsidRDefault="00FE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387D" w14:textId="77777777" w:rsidR="003255CC" w:rsidRDefault="003255CC" w:rsidP="003255CC">
    <w:pPr>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THE GENESIS INITITIVE - THE BUSINESS SENATE FOR ENTERPRISE</w:t>
    </w:r>
  </w:p>
  <w:p w14:paraId="5B57FB7C" w14:textId="77777777" w:rsidR="003255CC" w:rsidRDefault="003255CC" w:rsidP="003255CC">
    <w:pPr>
      <w:rPr>
        <w:rFonts w:ascii="Arial" w:eastAsiaTheme="minorEastAsia" w:hAnsi="Arial" w:cs="Arial"/>
        <w:b/>
        <w:bCs/>
        <w:noProof/>
        <w:color w:val="9BBB59"/>
        <w:sz w:val="18"/>
        <w:szCs w:val="18"/>
        <w:lang w:val="en-US" w:eastAsia="en-GB"/>
      </w:rPr>
    </w:pPr>
  </w:p>
  <w:p w14:paraId="5957A96C" w14:textId="77777777" w:rsidR="003255CC" w:rsidRDefault="00325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3443" w14:textId="77777777" w:rsidR="003255CC" w:rsidRDefault="003255CC" w:rsidP="003255CC">
    <w:pPr>
      <w:rPr>
        <w:rFonts w:ascii="Arial" w:eastAsiaTheme="minorEastAsia" w:hAnsi="Arial" w:cs="Arial"/>
        <w:b/>
        <w:bCs/>
        <w:noProof/>
        <w:color w:val="9BBB59"/>
        <w:sz w:val="18"/>
        <w:szCs w:val="18"/>
        <w:lang w:val="en-US" w:eastAsia="en-GB"/>
      </w:rPr>
    </w:pPr>
    <w:r>
      <w:rPr>
        <w:noProof/>
        <w:lang w:eastAsia="en-GB"/>
      </w:rPr>
      <w:drawing>
        <wp:anchor distT="0" distB="0" distL="114300" distR="114300" simplePos="0" relativeHeight="251665920" behindDoc="0" locked="0" layoutInCell="1" allowOverlap="1" wp14:anchorId="04B8DDCB" wp14:editId="43216D51">
          <wp:simplePos x="0" y="0"/>
          <wp:positionH relativeFrom="margin">
            <wp:align>left</wp:align>
          </wp:positionH>
          <wp:positionV relativeFrom="paragraph">
            <wp:posOffset>-1905</wp:posOffset>
          </wp:positionV>
          <wp:extent cx="2514600" cy="628650"/>
          <wp:effectExtent l="0" t="0" r="0" b="0"/>
          <wp:wrapNone/>
          <wp:docPr id="6" name="Picture 6"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25146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CB4ED" w14:textId="77777777" w:rsidR="003255CC" w:rsidRDefault="003255CC" w:rsidP="003255CC">
    <w:pPr>
      <w:rPr>
        <w:rFonts w:ascii="Arial" w:eastAsiaTheme="minorEastAsia" w:hAnsi="Arial" w:cs="Arial"/>
        <w:b/>
        <w:bCs/>
        <w:noProof/>
        <w:color w:val="9BBB59"/>
        <w:sz w:val="18"/>
        <w:szCs w:val="18"/>
        <w:lang w:val="en-US" w:eastAsia="en-GB"/>
      </w:rPr>
    </w:pPr>
  </w:p>
  <w:p w14:paraId="12259F9F" w14:textId="77777777" w:rsidR="003255CC" w:rsidRDefault="003255CC" w:rsidP="003255CC">
    <w:pPr>
      <w:rPr>
        <w:rFonts w:ascii="Arial" w:eastAsiaTheme="minorEastAsia" w:hAnsi="Arial" w:cs="Arial"/>
        <w:b/>
        <w:bCs/>
        <w:noProof/>
        <w:color w:val="9BBB59"/>
        <w:sz w:val="18"/>
        <w:szCs w:val="18"/>
        <w:lang w:val="en-US" w:eastAsia="en-GB"/>
      </w:rPr>
    </w:pPr>
  </w:p>
  <w:p w14:paraId="48696117" w14:textId="77777777" w:rsidR="003255CC" w:rsidRDefault="003255CC" w:rsidP="003255CC">
    <w:pPr>
      <w:rPr>
        <w:rFonts w:ascii="Arial" w:eastAsiaTheme="minorEastAsia" w:hAnsi="Arial" w:cs="Arial"/>
        <w:b/>
        <w:bCs/>
        <w:noProof/>
        <w:color w:val="9BBB59"/>
        <w:sz w:val="18"/>
        <w:szCs w:val="18"/>
        <w:lang w:val="en-US" w:eastAsia="en-GB"/>
      </w:rPr>
    </w:pPr>
  </w:p>
  <w:p w14:paraId="0DBE9064" w14:textId="77777777" w:rsidR="003255CC" w:rsidRDefault="003255CC" w:rsidP="003255CC">
    <w:pPr>
      <w:rPr>
        <w:rFonts w:ascii="Arial" w:eastAsiaTheme="minorEastAsia" w:hAnsi="Arial" w:cs="Arial"/>
        <w:b/>
        <w:bCs/>
        <w:noProof/>
        <w:color w:val="9BBB59"/>
        <w:sz w:val="18"/>
        <w:szCs w:val="18"/>
        <w:lang w:val="en-US" w:eastAsia="en-GB"/>
      </w:rPr>
    </w:pPr>
  </w:p>
  <w:p w14:paraId="62B6086B" w14:textId="77777777" w:rsidR="003255CC" w:rsidRPr="00AB4716" w:rsidRDefault="006619F7" w:rsidP="003255CC">
    <w:pPr>
      <w:rPr>
        <w:rFonts w:ascii="Arial" w:eastAsiaTheme="minorEastAsia" w:hAnsi="Arial" w:cs="Arial"/>
        <w:b/>
        <w:bCs/>
        <w:noProof/>
        <w:color w:val="9BBB59"/>
        <w:sz w:val="20"/>
        <w:szCs w:val="18"/>
        <w:lang w:val="en-US" w:eastAsia="en-GB"/>
      </w:rPr>
    </w:pPr>
    <w:r>
      <w:rPr>
        <w:rFonts w:ascii="Arial" w:eastAsiaTheme="minorEastAsia" w:hAnsi="Arial" w:cs="Arial"/>
        <w:b/>
        <w:bCs/>
        <w:noProof/>
        <w:color w:val="9BBB59"/>
        <w:sz w:val="20"/>
        <w:szCs w:val="18"/>
        <w:lang w:val="en-US" w:eastAsia="en-GB"/>
      </w:rPr>
      <w:t xml:space="preserve">    </w:t>
    </w:r>
    <w:r w:rsidR="003255CC" w:rsidRPr="00AB4716">
      <w:rPr>
        <w:rFonts w:ascii="Arial" w:eastAsiaTheme="minorEastAsia" w:hAnsi="Arial" w:cs="Arial"/>
        <w:b/>
        <w:bCs/>
        <w:noProof/>
        <w:color w:val="9BBB59"/>
        <w:sz w:val="20"/>
        <w:szCs w:val="18"/>
        <w:lang w:val="en-US" w:eastAsia="en-GB"/>
      </w:rPr>
      <w:t>THE BUSINESS SENATE FOR ENTERPRISE</w:t>
    </w:r>
  </w:p>
  <w:p w14:paraId="7C6DE4A2" w14:textId="77777777" w:rsidR="00AB4716" w:rsidRDefault="00AB4716" w:rsidP="003255CC">
    <w:pPr>
      <w:rPr>
        <w:rFonts w:ascii="Arial" w:eastAsiaTheme="minorEastAsia" w:hAnsi="Arial" w:cs="Arial"/>
        <w:b/>
        <w:bCs/>
        <w:noProof/>
        <w:color w:val="9BBB59"/>
        <w:sz w:val="18"/>
        <w:szCs w:val="18"/>
        <w:lang w:val="en-US"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3F"/>
    <w:multiLevelType w:val="hybridMultilevel"/>
    <w:tmpl w:val="F780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E2836"/>
    <w:multiLevelType w:val="hybridMultilevel"/>
    <w:tmpl w:val="6B3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00950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7311"/>
    <w:multiLevelType w:val="hybridMultilevel"/>
    <w:tmpl w:val="59E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24A0C"/>
    <w:multiLevelType w:val="hybridMultilevel"/>
    <w:tmpl w:val="070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143F8"/>
    <w:multiLevelType w:val="hybridMultilevel"/>
    <w:tmpl w:val="A1CC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27B43"/>
    <w:multiLevelType w:val="hybridMultilevel"/>
    <w:tmpl w:val="DE8C2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413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350379"/>
    <w:multiLevelType w:val="hybridMultilevel"/>
    <w:tmpl w:val="16B0D948"/>
    <w:lvl w:ilvl="0" w:tplc="185CF01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BEF4F5-42CD-46AF-AA94-2C334A96AFBA}"/>
    <w:docVar w:name="dgnword-eventsink" w:val="1999505255504"/>
  </w:docVars>
  <w:rsids>
    <w:rsidRoot w:val="00055D64"/>
    <w:rsid w:val="00000E95"/>
    <w:rsid w:val="000043A2"/>
    <w:rsid w:val="0000525D"/>
    <w:rsid w:val="00027AA7"/>
    <w:rsid w:val="00031A76"/>
    <w:rsid w:val="0003799C"/>
    <w:rsid w:val="00046E27"/>
    <w:rsid w:val="00053732"/>
    <w:rsid w:val="0005439D"/>
    <w:rsid w:val="00055D64"/>
    <w:rsid w:val="0006013A"/>
    <w:rsid w:val="00063C97"/>
    <w:rsid w:val="00064A44"/>
    <w:rsid w:val="00071641"/>
    <w:rsid w:val="000719C2"/>
    <w:rsid w:val="00073841"/>
    <w:rsid w:val="00076909"/>
    <w:rsid w:val="000860F0"/>
    <w:rsid w:val="0009260C"/>
    <w:rsid w:val="0009733E"/>
    <w:rsid w:val="000A240D"/>
    <w:rsid w:val="000A3E3E"/>
    <w:rsid w:val="000A7F96"/>
    <w:rsid w:val="000B332B"/>
    <w:rsid w:val="000C5977"/>
    <w:rsid w:val="000E1AAC"/>
    <w:rsid w:val="000E5D5F"/>
    <w:rsid w:val="000F37D8"/>
    <w:rsid w:val="001006A5"/>
    <w:rsid w:val="001043C4"/>
    <w:rsid w:val="00125CED"/>
    <w:rsid w:val="00130696"/>
    <w:rsid w:val="00132164"/>
    <w:rsid w:val="00140CF1"/>
    <w:rsid w:val="001423D8"/>
    <w:rsid w:val="00142426"/>
    <w:rsid w:val="00145EBD"/>
    <w:rsid w:val="00160DD5"/>
    <w:rsid w:val="001714B4"/>
    <w:rsid w:val="00172B08"/>
    <w:rsid w:val="001943D8"/>
    <w:rsid w:val="001A2AFC"/>
    <w:rsid w:val="001A60A7"/>
    <w:rsid w:val="001B781D"/>
    <w:rsid w:val="001D0369"/>
    <w:rsid w:val="001E49E2"/>
    <w:rsid w:val="001F0786"/>
    <w:rsid w:val="001F16DA"/>
    <w:rsid w:val="00205AF9"/>
    <w:rsid w:val="00206A19"/>
    <w:rsid w:val="00210DB9"/>
    <w:rsid w:val="002157E5"/>
    <w:rsid w:val="00225EA1"/>
    <w:rsid w:val="002279B7"/>
    <w:rsid w:val="00227F5C"/>
    <w:rsid w:val="00230170"/>
    <w:rsid w:val="0023480F"/>
    <w:rsid w:val="00235B34"/>
    <w:rsid w:val="002415B5"/>
    <w:rsid w:val="00262DD0"/>
    <w:rsid w:val="00271402"/>
    <w:rsid w:val="00285A26"/>
    <w:rsid w:val="00292C56"/>
    <w:rsid w:val="002A1217"/>
    <w:rsid w:val="002B0CB5"/>
    <w:rsid w:val="002B3353"/>
    <w:rsid w:val="002C15D5"/>
    <w:rsid w:val="002C353E"/>
    <w:rsid w:val="002C6C90"/>
    <w:rsid w:val="002D0A8D"/>
    <w:rsid w:val="002D203F"/>
    <w:rsid w:val="002D38A3"/>
    <w:rsid w:val="002E290A"/>
    <w:rsid w:val="002E2B36"/>
    <w:rsid w:val="002F0F26"/>
    <w:rsid w:val="002F483D"/>
    <w:rsid w:val="003116CA"/>
    <w:rsid w:val="00317B59"/>
    <w:rsid w:val="0032468C"/>
    <w:rsid w:val="00324C59"/>
    <w:rsid w:val="003255CC"/>
    <w:rsid w:val="00326526"/>
    <w:rsid w:val="00332A4B"/>
    <w:rsid w:val="00336661"/>
    <w:rsid w:val="00336D23"/>
    <w:rsid w:val="00346341"/>
    <w:rsid w:val="00347492"/>
    <w:rsid w:val="00355A6B"/>
    <w:rsid w:val="003637D0"/>
    <w:rsid w:val="00390860"/>
    <w:rsid w:val="00396B5A"/>
    <w:rsid w:val="003A14E3"/>
    <w:rsid w:val="003A40C8"/>
    <w:rsid w:val="003B0964"/>
    <w:rsid w:val="003B21B4"/>
    <w:rsid w:val="003B4032"/>
    <w:rsid w:val="003C180C"/>
    <w:rsid w:val="003C3893"/>
    <w:rsid w:val="003E3526"/>
    <w:rsid w:val="003E4B77"/>
    <w:rsid w:val="003E54C3"/>
    <w:rsid w:val="003F2003"/>
    <w:rsid w:val="003F249C"/>
    <w:rsid w:val="003F5D90"/>
    <w:rsid w:val="00405DC6"/>
    <w:rsid w:val="00411BFE"/>
    <w:rsid w:val="00412580"/>
    <w:rsid w:val="00413647"/>
    <w:rsid w:val="00415599"/>
    <w:rsid w:val="00423FF2"/>
    <w:rsid w:val="004240B4"/>
    <w:rsid w:val="00424ACC"/>
    <w:rsid w:val="0043121E"/>
    <w:rsid w:val="00437561"/>
    <w:rsid w:val="00437D61"/>
    <w:rsid w:val="0044390C"/>
    <w:rsid w:val="00463B7D"/>
    <w:rsid w:val="004647BA"/>
    <w:rsid w:val="00470C14"/>
    <w:rsid w:val="00470FA9"/>
    <w:rsid w:val="00492A7E"/>
    <w:rsid w:val="00493873"/>
    <w:rsid w:val="004A0587"/>
    <w:rsid w:val="004A63D2"/>
    <w:rsid w:val="004C068C"/>
    <w:rsid w:val="004C275A"/>
    <w:rsid w:val="004C344E"/>
    <w:rsid w:val="004C6475"/>
    <w:rsid w:val="004D010E"/>
    <w:rsid w:val="004E1DE5"/>
    <w:rsid w:val="004F0F92"/>
    <w:rsid w:val="004F2ED5"/>
    <w:rsid w:val="004F349B"/>
    <w:rsid w:val="004F3E67"/>
    <w:rsid w:val="00503755"/>
    <w:rsid w:val="00507AAE"/>
    <w:rsid w:val="00520A04"/>
    <w:rsid w:val="00531C94"/>
    <w:rsid w:val="00544CAF"/>
    <w:rsid w:val="00552BC4"/>
    <w:rsid w:val="005532CC"/>
    <w:rsid w:val="00560ED1"/>
    <w:rsid w:val="00562B0D"/>
    <w:rsid w:val="00565553"/>
    <w:rsid w:val="00565924"/>
    <w:rsid w:val="005743B6"/>
    <w:rsid w:val="005749D7"/>
    <w:rsid w:val="00575A56"/>
    <w:rsid w:val="00577C63"/>
    <w:rsid w:val="00581C35"/>
    <w:rsid w:val="00590EAC"/>
    <w:rsid w:val="00593B9A"/>
    <w:rsid w:val="005941C0"/>
    <w:rsid w:val="005A24F7"/>
    <w:rsid w:val="005E01A6"/>
    <w:rsid w:val="005F2962"/>
    <w:rsid w:val="005F3293"/>
    <w:rsid w:val="005F7EB7"/>
    <w:rsid w:val="00610079"/>
    <w:rsid w:val="00614392"/>
    <w:rsid w:val="0064389C"/>
    <w:rsid w:val="006537B7"/>
    <w:rsid w:val="00657063"/>
    <w:rsid w:val="006619F7"/>
    <w:rsid w:val="00661D28"/>
    <w:rsid w:val="00662617"/>
    <w:rsid w:val="00665F38"/>
    <w:rsid w:val="00667514"/>
    <w:rsid w:val="0067138A"/>
    <w:rsid w:val="0069001E"/>
    <w:rsid w:val="00697059"/>
    <w:rsid w:val="006C3C19"/>
    <w:rsid w:val="006E2A53"/>
    <w:rsid w:val="006E71DE"/>
    <w:rsid w:val="00704AEC"/>
    <w:rsid w:val="007051BD"/>
    <w:rsid w:val="007119A1"/>
    <w:rsid w:val="00711C4D"/>
    <w:rsid w:val="00724438"/>
    <w:rsid w:val="0072676C"/>
    <w:rsid w:val="0073380B"/>
    <w:rsid w:val="00736EEC"/>
    <w:rsid w:val="0074531E"/>
    <w:rsid w:val="007551EF"/>
    <w:rsid w:val="00770A32"/>
    <w:rsid w:val="00770DEB"/>
    <w:rsid w:val="00775F1F"/>
    <w:rsid w:val="00786EE3"/>
    <w:rsid w:val="007B2483"/>
    <w:rsid w:val="007C51B2"/>
    <w:rsid w:val="007D0D86"/>
    <w:rsid w:val="007E1605"/>
    <w:rsid w:val="007E2A3C"/>
    <w:rsid w:val="007F1086"/>
    <w:rsid w:val="007F355D"/>
    <w:rsid w:val="00807E40"/>
    <w:rsid w:val="00810D52"/>
    <w:rsid w:val="00815C17"/>
    <w:rsid w:val="00820D0D"/>
    <w:rsid w:val="00832B16"/>
    <w:rsid w:val="00833115"/>
    <w:rsid w:val="00846810"/>
    <w:rsid w:val="00850616"/>
    <w:rsid w:val="0085155A"/>
    <w:rsid w:val="00851656"/>
    <w:rsid w:val="00856A8C"/>
    <w:rsid w:val="00860364"/>
    <w:rsid w:val="00862D8B"/>
    <w:rsid w:val="00865FAB"/>
    <w:rsid w:val="008A2FB8"/>
    <w:rsid w:val="008C337F"/>
    <w:rsid w:val="008C35F6"/>
    <w:rsid w:val="008D55FC"/>
    <w:rsid w:val="008D6DE7"/>
    <w:rsid w:val="008E0444"/>
    <w:rsid w:val="008F2718"/>
    <w:rsid w:val="00907D3C"/>
    <w:rsid w:val="009121D4"/>
    <w:rsid w:val="009139A1"/>
    <w:rsid w:val="00915221"/>
    <w:rsid w:val="00917705"/>
    <w:rsid w:val="00921F6E"/>
    <w:rsid w:val="0093378C"/>
    <w:rsid w:val="00934BEE"/>
    <w:rsid w:val="00934DD3"/>
    <w:rsid w:val="00941078"/>
    <w:rsid w:val="009576C8"/>
    <w:rsid w:val="00957760"/>
    <w:rsid w:val="009826D3"/>
    <w:rsid w:val="00991BE1"/>
    <w:rsid w:val="009A1831"/>
    <w:rsid w:val="009B2993"/>
    <w:rsid w:val="009B7EAD"/>
    <w:rsid w:val="009C0A12"/>
    <w:rsid w:val="009C0A4D"/>
    <w:rsid w:val="009C1D2D"/>
    <w:rsid w:val="009C43EF"/>
    <w:rsid w:val="009C7B7A"/>
    <w:rsid w:val="009D31C3"/>
    <w:rsid w:val="009E4DEA"/>
    <w:rsid w:val="009F0CF3"/>
    <w:rsid w:val="009F0E78"/>
    <w:rsid w:val="009F2BDB"/>
    <w:rsid w:val="00A24777"/>
    <w:rsid w:val="00A2721A"/>
    <w:rsid w:val="00A37B0F"/>
    <w:rsid w:val="00A44778"/>
    <w:rsid w:val="00A53A86"/>
    <w:rsid w:val="00A55225"/>
    <w:rsid w:val="00A55DE0"/>
    <w:rsid w:val="00A72179"/>
    <w:rsid w:val="00A74852"/>
    <w:rsid w:val="00A879FE"/>
    <w:rsid w:val="00A91E85"/>
    <w:rsid w:val="00A96F4B"/>
    <w:rsid w:val="00AA50A9"/>
    <w:rsid w:val="00AB43F2"/>
    <w:rsid w:val="00AB4716"/>
    <w:rsid w:val="00AD7EDA"/>
    <w:rsid w:val="00AE433F"/>
    <w:rsid w:val="00AE758D"/>
    <w:rsid w:val="00AF6377"/>
    <w:rsid w:val="00B0037A"/>
    <w:rsid w:val="00B12EBF"/>
    <w:rsid w:val="00B14B27"/>
    <w:rsid w:val="00B17EF3"/>
    <w:rsid w:val="00B2353C"/>
    <w:rsid w:val="00B23D74"/>
    <w:rsid w:val="00B24523"/>
    <w:rsid w:val="00B24BB3"/>
    <w:rsid w:val="00B42C44"/>
    <w:rsid w:val="00B536DB"/>
    <w:rsid w:val="00B54840"/>
    <w:rsid w:val="00B67727"/>
    <w:rsid w:val="00B70556"/>
    <w:rsid w:val="00B70FC8"/>
    <w:rsid w:val="00B742AC"/>
    <w:rsid w:val="00B77346"/>
    <w:rsid w:val="00B81FB0"/>
    <w:rsid w:val="00B8275F"/>
    <w:rsid w:val="00B83045"/>
    <w:rsid w:val="00B83068"/>
    <w:rsid w:val="00B8644A"/>
    <w:rsid w:val="00B90E07"/>
    <w:rsid w:val="00BA7D41"/>
    <w:rsid w:val="00BC2B3E"/>
    <w:rsid w:val="00BD1296"/>
    <w:rsid w:val="00BD391B"/>
    <w:rsid w:val="00BD41A3"/>
    <w:rsid w:val="00BE3CF7"/>
    <w:rsid w:val="00BF075D"/>
    <w:rsid w:val="00BF7C1D"/>
    <w:rsid w:val="00C00069"/>
    <w:rsid w:val="00C00919"/>
    <w:rsid w:val="00C02DF6"/>
    <w:rsid w:val="00C05341"/>
    <w:rsid w:val="00C11D6E"/>
    <w:rsid w:val="00C13803"/>
    <w:rsid w:val="00C22906"/>
    <w:rsid w:val="00C26127"/>
    <w:rsid w:val="00C26F5C"/>
    <w:rsid w:val="00C271FF"/>
    <w:rsid w:val="00C31818"/>
    <w:rsid w:val="00C37C72"/>
    <w:rsid w:val="00C40EF9"/>
    <w:rsid w:val="00C528B1"/>
    <w:rsid w:val="00C566EC"/>
    <w:rsid w:val="00C5730E"/>
    <w:rsid w:val="00C64A7D"/>
    <w:rsid w:val="00C6641C"/>
    <w:rsid w:val="00C70CE9"/>
    <w:rsid w:val="00C749B0"/>
    <w:rsid w:val="00C8528D"/>
    <w:rsid w:val="00C87043"/>
    <w:rsid w:val="00C95F77"/>
    <w:rsid w:val="00CB09CC"/>
    <w:rsid w:val="00CB3C01"/>
    <w:rsid w:val="00CB6154"/>
    <w:rsid w:val="00CC1A2E"/>
    <w:rsid w:val="00CD22E1"/>
    <w:rsid w:val="00CD4334"/>
    <w:rsid w:val="00CD6424"/>
    <w:rsid w:val="00CF75CE"/>
    <w:rsid w:val="00D0558D"/>
    <w:rsid w:val="00D126E9"/>
    <w:rsid w:val="00D23A82"/>
    <w:rsid w:val="00D309EE"/>
    <w:rsid w:val="00D32EE0"/>
    <w:rsid w:val="00D36CBD"/>
    <w:rsid w:val="00D51F89"/>
    <w:rsid w:val="00D57DCA"/>
    <w:rsid w:val="00D62EC2"/>
    <w:rsid w:val="00D638CA"/>
    <w:rsid w:val="00D66A0E"/>
    <w:rsid w:val="00D74EA8"/>
    <w:rsid w:val="00D8075F"/>
    <w:rsid w:val="00D82210"/>
    <w:rsid w:val="00D82A3A"/>
    <w:rsid w:val="00D84260"/>
    <w:rsid w:val="00D87FBD"/>
    <w:rsid w:val="00D951F4"/>
    <w:rsid w:val="00D95F13"/>
    <w:rsid w:val="00D96E0E"/>
    <w:rsid w:val="00D976F5"/>
    <w:rsid w:val="00DB0547"/>
    <w:rsid w:val="00DC06A0"/>
    <w:rsid w:val="00DD093F"/>
    <w:rsid w:val="00DD2C25"/>
    <w:rsid w:val="00DD7530"/>
    <w:rsid w:val="00DF63E1"/>
    <w:rsid w:val="00E0159C"/>
    <w:rsid w:val="00E04D95"/>
    <w:rsid w:val="00E07533"/>
    <w:rsid w:val="00E130E9"/>
    <w:rsid w:val="00E22DE9"/>
    <w:rsid w:val="00E24ACE"/>
    <w:rsid w:val="00E27154"/>
    <w:rsid w:val="00E54364"/>
    <w:rsid w:val="00E62E9A"/>
    <w:rsid w:val="00E768FB"/>
    <w:rsid w:val="00E87709"/>
    <w:rsid w:val="00E90E02"/>
    <w:rsid w:val="00E92D47"/>
    <w:rsid w:val="00E94E08"/>
    <w:rsid w:val="00E9601C"/>
    <w:rsid w:val="00EA2942"/>
    <w:rsid w:val="00EA2CA1"/>
    <w:rsid w:val="00EB3532"/>
    <w:rsid w:val="00EC2D28"/>
    <w:rsid w:val="00EC5B58"/>
    <w:rsid w:val="00ED28A4"/>
    <w:rsid w:val="00ED39DF"/>
    <w:rsid w:val="00ED5594"/>
    <w:rsid w:val="00ED5EE4"/>
    <w:rsid w:val="00EF06E8"/>
    <w:rsid w:val="00F009ED"/>
    <w:rsid w:val="00F375DD"/>
    <w:rsid w:val="00F441D3"/>
    <w:rsid w:val="00F826B9"/>
    <w:rsid w:val="00F82FC3"/>
    <w:rsid w:val="00F911AE"/>
    <w:rsid w:val="00FA28AF"/>
    <w:rsid w:val="00FA4959"/>
    <w:rsid w:val="00FB1A0C"/>
    <w:rsid w:val="00FB5352"/>
    <w:rsid w:val="00FB6776"/>
    <w:rsid w:val="00FC11BD"/>
    <w:rsid w:val="00FC3056"/>
    <w:rsid w:val="00FC3936"/>
    <w:rsid w:val="00FC4C21"/>
    <w:rsid w:val="00FC5C33"/>
    <w:rsid w:val="00FC7014"/>
    <w:rsid w:val="00FC74B1"/>
    <w:rsid w:val="00FD1E4F"/>
    <w:rsid w:val="00FD7E39"/>
    <w:rsid w:val="00FE193D"/>
    <w:rsid w:val="00FE66E0"/>
    <w:rsid w:val="00FE7BC8"/>
    <w:rsid w:val="00FF3087"/>
    <w:rsid w:val="00FF37BB"/>
    <w:rsid w:val="00FF500E"/>
    <w:rsid w:val="00FF6629"/>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9731"/>
  <w15:chartTrackingRefBased/>
  <w15:docId w15:val="{AD4877BB-9455-4D0E-84EB-94DA6627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F0"/>
    <w:rPr>
      <w:color w:val="0563C1" w:themeColor="hyperlink"/>
      <w:u w:val="single"/>
    </w:rPr>
  </w:style>
  <w:style w:type="character" w:customStyle="1" w:styleId="UnresolvedMention1">
    <w:name w:val="Unresolved Mention1"/>
    <w:basedOn w:val="DefaultParagraphFont"/>
    <w:uiPriority w:val="99"/>
    <w:semiHidden/>
    <w:unhideWhenUsed/>
    <w:rsid w:val="000860F0"/>
    <w:rPr>
      <w:color w:val="808080"/>
      <w:shd w:val="clear" w:color="auto" w:fill="E6E6E6"/>
    </w:rPr>
  </w:style>
  <w:style w:type="paragraph" w:styleId="Header">
    <w:name w:val="header"/>
    <w:basedOn w:val="Normal"/>
    <w:link w:val="HeaderChar"/>
    <w:uiPriority w:val="99"/>
    <w:unhideWhenUsed/>
    <w:rsid w:val="003255CC"/>
    <w:pPr>
      <w:tabs>
        <w:tab w:val="center" w:pos="4513"/>
        <w:tab w:val="right" w:pos="9026"/>
      </w:tabs>
    </w:pPr>
  </w:style>
  <w:style w:type="character" w:customStyle="1" w:styleId="HeaderChar">
    <w:name w:val="Header Char"/>
    <w:basedOn w:val="DefaultParagraphFont"/>
    <w:link w:val="Header"/>
    <w:uiPriority w:val="99"/>
    <w:rsid w:val="003255CC"/>
  </w:style>
  <w:style w:type="paragraph" w:styleId="Footer">
    <w:name w:val="footer"/>
    <w:basedOn w:val="Normal"/>
    <w:link w:val="FooterChar"/>
    <w:uiPriority w:val="99"/>
    <w:unhideWhenUsed/>
    <w:rsid w:val="003255CC"/>
    <w:pPr>
      <w:tabs>
        <w:tab w:val="center" w:pos="4513"/>
        <w:tab w:val="right" w:pos="9026"/>
      </w:tabs>
    </w:pPr>
  </w:style>
  <w:style w:type="character" w:customStyle="1" w:styleId="FooterChar">
    <w:name w:val="Footer Char"/>
    <w:basedOn w:val="DefaultParagraphFont"/>
    <w:link w:val="Footer"/>
    <w:uiPriority w:val="99"/>
    <w:rsid w:val="003255CC"/>
  </w:style>
  <w:style w:type="paragraph" w:styleId="BalloonText">
    <w:name w:val="Balloon Text"/>
    <w:basedOn w:val="Normal"/>
    <w:link w:val="BalloonTextChar"/>
    <w:uiPriority w:val="99"/>
    <w:semiHidden/>
    <w:unhideWhenUsed/>
    <w:rsid w:val="00431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1E"/>
    <w:rPr>
      <w:rFonts w:ascii="Segoe UI" w:hAnsi="Segoe UI" w:cs="Segoe UI"/>
      <w:sz w:val="18"/>
      <w:szCs w:val="18"/>
    </w:rPr>
  </w:style>
  <w:style w:type="paragraph" w:styleId="ListParagraph">
    <w:name w:val="List Paragraph"/>
    <w:basedOn w:val="Normal"/>
    <w:uiPriority w:val="34"/>
    <w:qFormat/>
    <w:rsid w:val="001943D8"/>
    <w:pPr>
      <w:ind w:left="720"/>
      <w:contextualSpacing/>
    </w:pPr>
  </w:style>
  <w:style w:type="character" w:styleId="FollowedHyperlink">
    <w:name w:val="FollowedHyperlink"/>
    <w:basedOn w:val="DefaultParagraphFont"/>
    <w:uiPriority w:val="99"/>
    <w:semiHidden/>
    <w:unhideWhenUsed/>
    <w:rsid w:val="00565553"/>
    <w:rPr>
      <w:color w:val="954F72" w:themeColor="followedHyperlink"/>
      <w:u w:val="single"/>
    </w:rPr>
  </w:style>
  <w:style w:type="paragraph" w:styleId="PlainText">
    <w:name w:val="Plain Text"/>
    <w:basedOn w:val="Normal"/>
    <w:link w:val="PlainTextChar"/>
    <w:uiPriority w:val="99"/>
    <w:semiHidden/>
    <w:unhideWhenUsed/>
    <w:rsid w:val="00552BC4"/>
  </w:style>
  <w:style w:type="character" w:customStyle="1" w:styleId="PlainTextChar">
    <w:name w:val="Plain Text Char"/>
    <w:basedOn w:val="DefaultParagraphFont"/>
    <w:link w:val="PlainText"/>
    <w:uiPriority w:val="99"/>
    <w:semiHidden/>
    <w:rsid w:val="00552BC4"/>
    <w:rPr>
      <w:rFonts w:ascii="Calibri" w:hAnsi="Calibri" w:cs="Calibri"/>
    </w:rPr>
  </w:style>
  <w:style w:type="paragraph" w:styleId="EndnoteText">
    <w:name w:val="endnote text"/>
    <w:basedOn w:val="Normal"/>
    <w:link w:val="EndnoteTextChar"/>
    <w:uiPriority w:val="99"/>
    <w:semiHidden/>
    <w:unhideWhenUsed/>
    <w:rsid w:val="00125CED"/>
    <w:rPr>
      <w:sz w:val="20"/>
      <w:szCs w:val="20"/>
    </w:rPr>
  </w:style>
  <w:style w:type="character" w:customStyle="1" w:styleId="EndnoteTextChar">
    <w:name w:val="Endnote Text Char"/>
    <w:basedOn w:val="DefaultParagraphFont"/>
    <w:link w:val="EndnoteText"/>
    <w:uiPriority w:val="99"/>
    <w:semiHidden/>
    <w:rsid w:val="00125CED"/>
    <w:rPr>
      <w:rFonts w:ascii="Calibri" w:hAnsi="Calibri" w:cs="Calibri"/>
      <w:sz w:val="20"/>
      <w:szCs w:val="20"/>
    </w:rPr>
  </w:style>
  <w:style w:type="character" w:styleId="EndnoteReference">
    <w:name w:val="endnote reference"/>
    <w:basedOn w:val="DefaultParagraphFont"/>
    <w:uiPriority w:val="99"/>
    <w:semiHidden/>
    <w:unhideWhenUsed/>
    <w:rsid w:val="0012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2492">
      <w:bodyDiv w:val="1"/>
      <w:marLeft w:val="0"/>
      <w:marRight w:val="0"/>
      <w:marTop w:val="0"/>
      <w:marBottom w:val="0"/>
      <w:divBdr>
        <w:top w:val="none" w:sz="0" w:space="0" w:color="auto"/>
        <w:left w:val="none" w:sz="0" w:space="0" w:color="auto"/>
        <w:bottom w:val="none" w:sz="0" w:space="0" w:color="auto"/>
        <w:right w:val="none" w:sz="0" w:space="0" w:color="auto"/>
      </w:divBdr>
    </w:div>
    <w:div w:id="917980946">
      <w:bodyDiv w:val="1"/>
      <w:marLeft w:val="0"/>
      <w:marRight w:val="0"/>
      <w:marTop w:val="0"/>
      <w:marBottom w:val="0"/>
      <w:divBdr>
        <w:top w:val="none" w:sz="0" w:space="0" w:color="auto"/>
        <w:left w:val="none" w:sz="0" w:space="0" w:color="auto"/>
        <w:bottom w:val="none" w:sz="0" w:space="0" w:color="auto"/>
        <w:right w:val="none" w:sz="0" w:space="0" w:color="auto"/>
      </w:divBdr>
    </w:div>
    <w:div w:id="1024213457">
      <w:bodyDiv w:val="1"/>
      <w:marLeft w:val="0"/>
      <w:marRight w:val="0"/>
      <w:marTop w:val="0"/>
      <w:marBottom w:val="0"/>
      <w:divBdr>
        <w:top w:val="none" w:sz="0" w:space="0" w:color="auto"/>
        <w:left w:val="none" w:sz="0" w:space="0" w:color="auto"/>
        <w:bottom w:val="none" w:sz="0" w:space="0" w:color="auto"/>
        <w:right w:val="none" w:sz="0" w:space="0" w:color="auto"/>
      </w:divBdr>
    </w:div>
    <w:div w:id="1647853528">
      <w:bodyDiv w:val="1"/>
      <w:marLeft w:val="0"/>
      <w:marRight w:val="0"/>
      <w:marTop w:val="0"/>
      <w:marBottom w:val="0"/>
      <w:divBdr>
        <w:top w:val="none" w:sz="0" w:space="0" w:color="auto"/>
        <w:left w:val="none" w:sz="0" w:space="0" w:color="auto"/>
        <w:bottom w:val="none" w:sz="0" w:space="0" w:color="auto"/>
        <w:right w:val="none" w:sz="0" w:space="0" w:color="auto"/>
      </w:divBdr>
    </w:div>
    <w:div w:id="208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Documents\Custom%20Office%20Templates\the%20Genesis%20templ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14BE-3E6C-4624-AB75-05ADD9A3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Genesis template letterhead</Template>
  <TotalTime>18</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Links>
    <vt:vector size="6" baseType="variant">
      <vt:variant>
        <vt:i4>4194320</vt:i4>
      </vt:variant>
      <vt:variant>
        <vt:i4>0</vt:i4>
      </vt:variant>
      <vt:variant>
        <vt:i4>0</vt:i4>
      </vt:variant>
      <vt:variant>
        <vt:i4>5</vt:i4>
      </vt:variant>
      <vt:variant>
        <vt:lpwstr>https://www.genesis-initiative.org/senate/senate-member-listing/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18</cp:revision>
  <cp:lastPrinted>2017-11-06T11:42:00Z</cp:lastPrinted>
  <dcterms:created xsi:type="dcterms:W3CDTF">2019-10-18T17:26:00Z</dcterms:created>
  <dcterms:modified xsi:type="dcterms:W3CDTF">2019-11-30T16:02:00Z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