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7B646" w14:textId="77777777" w:rsidR="001626C4" w:rsidRDefault="005C7372">
      <w:pPr>
        <w:rPr>
          <w:rFonts w:ascii="Arial" w:hAnsi="Arial" w:cs="Arial"/>
          <w:b/>
          <w:sz w:val="24"/>
          <w:szCs w:val="24"/>
        </w:rPr>
      </w:pPr>
      <w:r>
        <w:rPr>
          <w:noProof/>
          <w:lang w:eastAsia="en-GB"/>
        </w:rPr>
        <w:drawing>
          <wp:inline distT="0" distB="0" distL="0" distR="0" wp14:anchorId="725ADD88" wp14:editId="22F1A896">
            <wp:extent cx="620050" cy="863550"/>
            <wp:effectExtent l="0" t="0" r="8890" b="0"/>
            <wp:docPr id="9" name="Picture 4" descr="IMG_9687">
              <a:extLst xmlns:a="http://schemas.openxmlformats.org/drawingml/2006/main">
                <a:ext uri="{FF2B5EF4-FFF2-40B4-BE49-F238E27FC236}">
                  <a16:creationId xmlns:a16="http://schemas.microsoft.com/office/drawing/2014/main" id="{FDF9F578-D244-4381-8FC6-C2DDF49C1D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IMG_9687">
                      <a:extLst>
                        <a:ext uri="{FF2B5EF4-FFF2-40B4-BE49-F238E27FC236}">
                          <a16:creationId xmlns:a16="http://schemas.microsoft.com/office/drawing/2014/main" id="{FDF9F578-D244-4381-8FC6-C2DDF49C1D88}"/>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6411" t="17983" r="28391" b="30767"/>
                    <a:stretch/>
                  </pic:blipFill>
                  <pic:spPr bwMode="auto">
                    <a:xfrm>
                      <a:off x="0" y="0"/>
                      <a:ext cx="620050" cy="863550"/>
                    </a:xfrm>
                    <a:prstGeom prst="rect">
                      <a:avLst/>
                    </a:prstGeom>
                    <a:solidFill>
                      <a:srgbClr val="747480"/>
                    </a:solidFill>
                  </pic:spPr>
                </pic:pic>
              </a:graphicData>
            </a:graphic>
          </wp:inline>
        </w:drawing>
      </w:r>
    </w:p>
    <w:p w14:paraId="72786D66" w14:textId="77777777" w:rsidR="00923118" w:rsidRPr="00923118" w:rsidRDefault="00512E52" w:rsidP="00923118">
      <w:pPr>
        <w:spacing w:before="100" w:beforeAutospacing="1" w:after="100" w:afterAutospacing="1" w:line="240" w:lineRule="auto"/>
        <w:rPr>
          <w:rFonts w:ascii="Arial" w:eastAsia="Times New Roman" w:hAnsi="Arial" w:cs="Arial"/>
          <w:lang w:eastAsia="en-GB"/>
        </w:rPr>
      </w:pPr>
      <w:r>
        <w:rPr>
          <w:rFonts w:ascii="Arial" w:eastAsia="Times New Roman" w:hAnsi="Arial" w:cs="Arial"/>
          <w:b/>
          <w:bCs/>
          <w:lang w:eastAsia="en-GB"/>
        </w:rPr>
        <w:t>EU INSTITUTIONAL MEASURES TO SUPPORT SMEs  - COVID-19</w:t>
      </w:r>
      <w:r w:rsidR="00923118" w:rsidRPr="00923118">
        <w:rPr>
          <w:rFonts w:ascii="Arial" w:eastAsia="Times New Roman" w:hAnsi="Arial" w:cs="Arial"/>
          <w:b/>
          <w:bCs/>
          <w:lang w:eastAsia="en-GB"/>
        </w:rPr>
        <w:t xml:space="preserve"> </w:t>
      </w:r>
    </w:p>
    <w:p w14:paraId="1109D752" w14:textId="77777777" w:rsidR="00512E52" w:rsidRPr="006F53EA" w:rsidRDefault="00512E52" w:rsidP="00512E52">
      <w:pPr>
        <w:framePr w:hSpace="180" w:wrap="around" w:vAnchor="text" w:hAnchor="page" w:x="1291" w:y="45"/>
        <w:spacing w:before="100" w:beforeAutospacing="1" w:after="100" w:afterAutospacing="1" w:line="240" w:lineRule="auto"/>
        <w:rPr>
          <w:rFonts w:ascii="Arial" w:eastAsia="Times New Roman" w:hAnsi="Arial" w:cs="Arial"/>
          <w:lang w:eastAsia="en-GB"/>
        </w:rPr>
      </w:pPr>
      <w:r w:rsidRPr="00923118">
        <w:rPr>
          <w:rFonts w:ascii="Arial" w:hAnsi="Arial" w:cs="Arial"/>
        </w:rPr>
        <w:t xml:space="preserve">This </w:t>
      </w:r>
      <w:r>
        <w:rPr>
          <w:rFonts w:ascii="Arial" w:hAnsi="Arial" w:cs="Arial"/>
        </w:rPr>
        <w:t xml:space="preserve">report, prepared by Genesis Initiative EU Policy Director, </w:t>
      </w:r>
      <w:proofErr w:type="spellStart"/>
      <w:r w:rsidRPr="005C7372">
        <w:rPr>
          <w:rFonts w:ascii="Arial" w:hAnsi="Arial" w:cs="Arial"/>
          <w:sz w:val="18"/>
          <w:szCs w:val="18"/>
        </w:rPr>
        <w:t>Dr</w:t>
      </w:r>
      <w:r>
        <w:rPr>
          <w:rFonts w:ascii="Arial" w:hAnsi="Arial" w:cs="Arial"/>
        </w:rPr>
        <w:t>.</w:t>
      </w:r>
      <w:proofErr w:type="spellEnd"/>
      <w:r>
        <w:rPr>
          <w:rFonts w:ascii="Arial" w:hAnsi="Arial" w:cs="Arial"/>
        </w:rPr>
        <w:t xml:space="preserve"> David P. Doyle,</w:t>
      </w:r>
      <w:r w:rsidRPr="00923118">
        <w:rPr>
          <w:rFonts w:ascii="Arial" w:hAnsi="Arial" w:cs="Arial"/>
        </w:rPr>
        <w:t xml:space="preserve"> provides insights into the EU Institutional measures introduced to aid SMEs arising from COVID-19 crisis</w:t>
      </w:r>
    </w:p>
    <w:p w14:paraId="4196229B" w14:textId="77777777" w:rsidR="00512E52" w:rsidRDefault="00512E52" w:rsidP="00512E52">
      <w:pPr>
        <w:framePr w:hSpace="180" w:wrap="around" w:vAnchor="text" w:hAnchor="page" w:x="1291" w:y="45"/>
        <w:spacing w:after="300" w:line="240" w:lineRule="auto"/>
        <w:rPr>
          <w:rFonts w:ascii="Arial" w:eastAsia="Times New Roman" w:hAnsi="Arial" w:cs="Arial"/>
          <w:lang w:eastAsia="en-GB"/>
        </w:rPr>
      </w:pPr>
      <w:r w:rsidRPr="00923118">
        <w:rPr>
          <w:rFonts w:ascii="Arial" w:eastAsia="Times New Roman" w:hAnsi="Arial" w:cs="Arial"/>
          <w:lang w:eastAsia="en-GB"/>
        </w:rPr>
        <w:t>Since the advent of COVID-19, the EU institutions – the E</w:t>
      </w:r>
      <w:r w:rsidR="005C7372">
        <w:rPr>
          <w:rFonts w:ascii="Arial" w:eastAsia="Times New Roman" w:hAnsi="Arial" w:cs="Arial"/>
          <w:lang w:eastAsia="en-GB"/>
        </w:rPr>
        <w:t xml:space="preserve">uropean </w:t>
      </w:r>
      <w:r w:rsidRPr="00923118">
        <w:rPr>
          <w:rFonts w:ascii="Arial" w:eastAsia="Times New Roman" w:hAnsi="Arial" w:cs="Arial"/>
          <w:lang w:eastAsia="en-GB"/>
        </w:rPr>
        <w:t>C</w:t>
      </w:r>
      <w:r w:rsidR="005C7372">
        <w:rPr>
          <w:rFonts w:ascii="Arial" w:eastAsia="Times New Roman" w:hAnsi="Arial" w:cs="Arial"/>
          <w:lang w:eastAsia="en-GB"/>
        </w:rPr>
        <w:t>ommission</w:t>
      </w:r>
      <w:r w:rsidRPr="00923118">
        <w:rPr>
          <w:rFonts w:ascii="Arial" w:eastAsia="Times New Roman" w:hAnsi="Arial" w:cs="Arial"/>
          <w:lang w:eastAsia="en-GB"/>
        </w:rPr>
        <w:t xml:space="preserve">, European Parliament and Council - have launched a number of economic </w:t>
      </w:r>
      <w:r>
        <w:rPr>
          <w:rFonts w:ascii="Arial" w:eastAsia="Times New Roman" w:hAnsi="Arial" w:cs="Arial"/>
          <w:lang w:eastAsia="en-GB"/>
        </w:rPr>
        <w:t xml:space="preserve">and monetary </w:t>
      </w:r>
      <w:r w:rsidRPr="00923118">
        <w:rPr>
          <w:rFonts w:ascii="Arial" w:eastAsia="Times New Roman" w:hAnsi="Arial" w:cs="Arial"/>
          <w:lang w:eastAsia="en-GB"/>
        </w:rPr>
        <w:t>measures in support of SMEs.</w:t>
      </w:r>
    </w:p>
    <w:p w14:paraId="37BA6887" w14:textId="77777777" w:rsidR="00512E52" w:rsidRDefault="00512E52" w:rsidP="00512E52">
      <w:pPr>
        <w:framePr w:hSpace="180" w:wrap="around" w:vAnchor="text" w:hAnchor="page" w:x="1291" w:y="45"/>
        <w:spacing w:before="100" w:beforeAutospacing="1" w:after="100" w:afterAutospacing="1" w:line="254" w:lineRule="auto"/>
        <w:rPr>
          <w:rFonts w:ascii="Arial" w:eastAsia="Times New Roman" w:hAnsi="Arial" w:cs="Arial"/>
          <w:b/>
          <w:bCs/>
          <w:sz w:val="24"/>
          <w:szCs w:val="24"/>
          <w:lang w:eastAsia="en-GB"/>
        </w:rPr>
      </w:pPr>
    </w:p>
    <w:p w14:paraId="0548E32E" w14:textId="77777777" w:rsidR="00512E52" w:rsidRDefault="00512E52" w:rsidP="00512E52">
      <w:pPr>
        <w:framePr w:hSpace="180" w:wrap="around" w:vAnchor="text" w:hAnchor="page" w:x="1291" w:y="45"/>
        <w:spacing w:before="100" w:beforeAutospacing="1" w:after="100" w:afterAutospacing="1" w:line="254" w:lineRule="auto"/>
        <w:rPr>
          <w:rFonts w:ascii="Arial" w:eastAsia="Times New Roman" w:hAnsi="Arial" w:cs="Arial"/>
          <w:sz w:val="24"/>
          <w:szCs w:val="24"/>
          <w:lang w:eastAsia="en-GB"/>
        </w:rPr>
      </w:pPr>
      <w:r w:rsidRPr="006F53EA">
        <w:rPr>
          <w:rFonts w:ascii="Arial" w:eastAsia="Times New Roman" w:hAnsi="Arial" w:cs="Arial"/>
          <w:b/>
          <w:bCs/>
          <w:sz w:val="24"/>
          <w:szCs w:val="24"/>
          <w:lang w:eastAsia="en-GB"/>
        </w:rPr>
        <w:t>Background</w:t>
      </w:r>
    </w:p>
    <w:p w14:paraId="584010E9" w14:textId="77777777" w:rsidR="00512E52" w:rsidRPr="006F53EA" w:rsidRDefault="00512E52" w:rsidP="00512E52">
      <w:pPr>
        <w:framePr w:hSpace="180" w:wrap="around" w:vAnchor="text" w:hAnchor="page" w:x="1291" w:y="45"/>
        <w:spacing w:before="100" w:beforeAutospacing="1" w:after="100" w:afterAutospacing="1" w:line="240" w:lineRule="auto"/>
        <w:rPr>
          <w:rFonts w:ascii="Times New Roman" w:eastAsia="Times New Roman" w:hAnsi="Times New Roman" w:cs="Times New Roman"/>
          <w:sz w:val="24"/>
          <w:szCs w:val="24"/>
          <w:lang w:eastAsia="en-GB"/>
        </w:rPr>
      </w:pPr>
      <w:r w:rsidRPr="006F53EA">
        <w:rPr>
          <w:rFonts w:ascii="Arial" w:eastAsia="Times New Roman" w:hAnsi="Arial" w:cs="Arial"/>
          <w:lang w:eastAsia="en-GB"/>
        </w:rPr>
        <w:t>Europe’s 25 million small and medium enterprises (SMEs) constitute the backbone of the EU economy. They employ around 100 million people, and account for more than half of Europe’s GDP</w:t>
      </w:r>
      <w:r w:rsidRPr="006F53EA">
        <w:rPr>
          <w:rFonts w:ascii="Arial" w:eastAsia="Times New Roman" w:hAnsi="Arial" w:cs="Arial"/>
          <w:sz w:val="24"/>
          <w:szCs w:val="24"/>
          <w:lang w:eastAsia="en-GB"/>
        </w:rPr>
        <w:t>. </w:t>
      </w:r>
    </w:p>
    <w:p w14:paraId="2CD59323"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lang w:eastAsia="en-GB"/>
        </w:rPr>
        <w:t xml:space="preserve">SMEs are deeply woven into Europe’s economic and social fabric. </w:t>
      </w:r>
      <w:r w:rsidRPr="006F53EA">
        <w:rPr>
          <w:rFonts w:ascii="Arial" w:eastAsia="Times New Roman" w:hAnsi="Arial" w:cs="Arial"/>
          <w:color w:val="000000"/>
          <w:shd w:val="clear" w:color="auto" w:fill="FFFFFF"/>
          <w:lang w:eastAsia="en-GB"/>
        </w:rPr>
        <w:t>In the past five years, they have created around 85% of new jobs and provided two-thirds of the total private sector employment in the EU. The European Commission considers SMEs and entrepreneurship as key to ensuring economic growth, innovation, job creation, and social integration in the EU.</w:t>
      </w:r>
      <w:r w:rsidRPr="006F53EA">
        <w:rPr>
          <w:rFonts w:ascii="Arial" w:eastAsia="Times New Roman" w:hAnsi="Arial" w:cs="Arial"/>
          <w:lang w:eastAsia="en-GB"/>
        </w:rPr>
        <w:t xml:space="preserve"> The COVID-19 challenges facing European SMEs are thus challenges for the whole of Europe. </w:t>
      </w:r>
    </w:p>
    <w:p w14:paraId="187A6D0D"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lang w:eastAsia="en-GB"/>
        </w:rPr>
        <w:t> Unlike the USA, over 80% of EU-based SMEs seek their main source of funding from banks, rather than the capital markets, a vulnerability factor the EC has long sought to address through the Capital Markets Union initiative.</w:t>
      </w:r>
      <w:r>
        <w:rPr>
          <w:rFonts w:ascii="Arial" w:eastAsia="Times New Roman" w:hAnsi="Arial" w:cs="Arial"/>
          <w:lang w:eastAsia="en-GB"/>
        </w:rPr>
        <w:t xml:space="preserve">  See US SME support measures at the end of this update.</w:t>
      </w:r>
    </w:p>
    <w:p w14:paraId="2BB63C34"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lang w:eastAsia="en-GB"/>
        </w:rPr>
        <w:t> </w:t>
      </w:r>
      <w:r w:rsidRPr="006F53EA">
        <w:rPr>
          <w:rFonts w:ascii="Arial" w:eastAsia="Times New Roman" w:hAnsi="Arial" w:cs="Arial"/>
          <w:color w:val="000000"/>
          <w:lang w:eastAsia="en-GB"/>
        </w:rPr>
        <w:t>The main factors determining whether an enterprise is an SME are:</w:t>
      </w:r>
    </w:p>
    <w:p w14:paraId="09305E60" w14:textId="77777777" w:rsidR="00512E52" w:rsidRPr="0045425C" w:rsidRDefault="00512E52" w:rsidP="00512E52">
      <w:pPr>
        <w:pStyle w:val="ListParagraph"/>
        <w:framePr w:hSpace="180" w:wrap="around" w:vAnchor="text" w:hAnchor="page" w:x="1291" w:y="45"/>
        <w:numPr>
          <w:ilvl w:val="0"/>
          <w:numId w:val="9"/>
        </w:numPr>
        <w:spacing w:before="100" w:beforeAutospacing="1" w:after="100" w:afterAutospacing="1" w:line="254" w:lineRule="auto"/>
        <w:rPr>
          <w:rFonts w:ascii="Times New Roman" w:eastAsia="Times New Roman" w:hAnsi="Times New Roman" w:cs="Times New Roman"/>
          <w:color w:val="333333"/>
          <w:lang w:eastAsia="en-GB"/>
        </w:rPr>
      </w:pPr>
      <w:r w:rsidRPr="0045425C">
        <w:rPr>
          <w:rFonts w:ascii="Arial" w:eastAsia="Times New Roman" w:hAnsi="Arial" w:cs="Arial"/>
          <w:color w:val="333333"/>
          <w:lang w:eastAsia="en-GB"/>
        </w:rPr>
        <w:t>staff headcount</w:t>
      </w:r>
    </w:p>
    <w:p w14:paraId="1FA1474B" w14:textId="77777777" w:rsidR="00512E52" w:rsidRPr="006F53EA" w:rsidRDefault="00512E52" w:rsidP="00512E52">
      <w:pPr>
        <w:pStyle w:val="ListParagraph"/>
        <w:framePr w:hSpace="180" w:wrap="around" w:vAnchor="text" w:hAnchor="page" w:x="1291" w:y="45"/>
        <w:numPr>
          <w:ilvl w:val="0"/>
          <w:numId w:val="9"/>
        </w:numPr>
        <w:spacing w:before="100" w:beforeAutospacing="1" w:after="100" w:afterAutospacing="1" w:line="254" w:lineRule="auto"/>
        <w:rPr>
          <w:rFonts w:ascii="Times New Roman" w:eastAsia="Times New Roman" w:hAnsi="Times New Roman" w:cs="Times New Roman"/>
          <w:lang w:eastAsia="en-GB"/>
        </w:rPr>
      </w:pPr>
      <w:r w:rsidRPr="0045425C">
        <w:rPr>
          <w:rFonts w:ascii="Arial" w:eastAsia="Times New Roman" w:hAnsi="Arial" w:cs="Arial"/>
          <w:color w:val="333333"/>
          <w:lang w:eastAsia="en-GB"/>
        </w:rPr>
        <w:t>either turnover or balance sheet total</w:t>
      </w:r>
      <w:r w:rsidRPr="006F53EA">
        <w:rPr>
          <w:rFonts w:ascii="Arial" w:eastAsia="Times New Roman" w:hAnsi="Arial" w:cs="Arial"/>
          <w:color w:val="333333"/>
          <w:lang w:eastAsia="en-GB"/>
        </w:rPr>
        <w:t> </w:t>
      </w:r>
    </w:p>
    <w:tbl>
      <w:tblPr>
        <w:tblW w:w="0" w:type="auto"/>
        <w:tblCellMar>
          <w:left w:w="0" w:type="dxa"/>
          <w:right w:w="0" w:type="dxa"/>
        </w:tblCellMar>
        <w:tblLook w:val="04A0" w:firstRow="1" w:lastRow="0" w:firstColumn="1" w:lastColumn="0" w:noHBand="0" w:noVBand="1"/>
      </w:tblPr>
      <w:tblGrid>
        <w:gridCol w:w="2131"/>
        <w:gridCol w:w="1813"/>
        <w:gridCol w:w="1104"/>
        <w:gridCol w:w="173"/>
        <w:gridCol w:w="173"/>
        <w:gridCol w:w="2156"/>
      </w:tblGrid>
      <w:tr w:rsidR="00512E52" w:rsidRPr="006F53EA" w14:paraId="0832A397" w14:textId="77777777" w:rsidTr="006F53EA">
        <w:tc>
          <w:tcPr>
            <w:tcW w:w="0" w:type="auto"/>
            <w:tcBorders>
              <w:top w:val="single" w:sz="8" w:space="0" w:color="666666"/>
              <w:left w:val="single" w:sz="8" w:space="0" w:color="666666"/>
              <w:bottom w:val="single" w:sz="8" w:space="0" w:color="666666"/>
              <w:right w:val="single" w:sz="8" w:space="0" w:color="666666"/>
            </w:tcBorders>
            <w:tcMar>
              <w:top w:w="0" w:type="dxa"/>
              <w:left w:w="75" w:type="dxa"/>
              <w:bottom w:w="0" w:type="dxa"/>
              <w:right w:w="75" w:type="dxa"/>
            </w:tcMar>
            <w:hideMark/>
          </w:tcPr>
          <w:p w14:paraId="0938C77D"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b/>
                <w:bCs/>
                <w:color w:val="000000"/>
                <w:lang w:eastAsia="en-GB"/>
              </w:rPr>
              <w:t>Company category</w:t>
            </w:r>
          </w:p>
        </w:tc>
        <w:tc>
          <w:tcPr>
            <w:tcW w:w="0" w:type="auto"/>
            <w:tcBorders>
              <w:top w:val="single" w:sz="8" w:space="0" w:color="666666"/>
              <w:left w:val="nil"/>
              <w:bottom w:val="single" w:sz="8" w:space="0" w:color="666666"/>
              <w:right w:val="single" w:sz="8" w:space="0" w:color="666666"/>
            </w:tcBorders>
            <w:tcMar>
              <w:top w:w="0" w:type="dxa"/>
              <w:left w:w="75" w:type="dxa"/>
              <w:bottom w:w="0" w:type="dxa"/>
              <w:right w:w="75" w:type="dxa"/>
            </w:tcMar>
            <w:hideMark/>
          </w:tcPr>
          <w:p w14:paraId="6249C593"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b/>
                <w:bCs/>
                <w:color w:val="000000"/>
                <w:lang w:eastAsia="en-GB"/>
              </w:rPr>
              <w:t>Staff headcount</w:t>
            </w:r>
          </w:p>
        </w:tc>
        <w:tc>
          <w:tcPr>
            <w:tcW w:w="0" w:type="auto"/>
            <w:tcBorders>
              <w:top w:val="single" w:sz="8" w:space="0" w:color="666666"/>
              <w:left w:val="nil"/>
              <w:bottom w:val="single" w:sz="8" w:space="0" w:color="666666"/>
              <w:right w:val="single" w:sz="8" w:space="0" w:color="666666"/>
            </w:tcBorders>
            <w:tcMar>
              <w:top w:w="0" w:type="dxa"/>
              <w:left w:w="75" w:type="dxa"/>
              <w:bottom w:w="0" w:type="dxa"/>
              <w:right w:w="75" w:type="dxa"/>
            </w:tcMar>
            <w:hideMark/>
          </w:tcPr>
          <w:p w14:paraId="432D76F6"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b/>
                <w:bCs/>
                <w:color w:val="000000"/>
                <w:lang w:eastAsia="en-GB"/>
              </w:rPr>
              <w:t>Turnover</w:t>
            </w:r>
          </w:p>
        </w:tc>
        <w:tc>
          <w:tcPr>
            <w:tcW w:w="0" w:type="auto"/>
            <w:gridSpan w:val="2"/>
            <w:tcBorders>
              <w:top w:val="single" w:sz="8" w:space="0" w:color="666666"/>
              <w:left w:val="nil"/>
              <w:bottom w:val="single" w:sz="8" w:space="0" w:color="666666"/>
              <w:right w:val="single" w:sz="8" w:space="0" w:color="666666"/>
            </w:tcBorders>
            <w:tcMar>
              <w:top w:w="0" w:type="dxa"/>
              <w:left w:w="75" w:type="dxa"/>
              <w:bottom w:w="0" w:type="dxa"/>
              <w:right w:w="75" w:type="dxa"/>
            </w:tcMar>
            <w:hideMark/>
          </w:tcPr>
          <w:p w14:paraId="42399E0C"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or</w:t>
            </w:r>
          </w:p>
        </w:tc>
        <w:tc>
          <w:tcPr>
            <w:tcW w:w="0" w:type="auto"/>
            <w:tcBorders>
              <w:top w:val="single" w:sz="8" w:space="0" w:color="666666"/>
              <w:left w:val="nil"/>
              <w:bottom w:val="single" w:sz="8" w:space="0" w:color="666666"/>
              <w:right w:val="single" w:sz="8" w:space="0" w:color="666666"/>
            </w:tcBorders>
            <w:tcMar>
              <w:top w:w="0" w:type="dxa"/>
              <w:left w:w="75" w:type="dxa"/>
              <w:bottom w:w="0" w:type="dxa"/>
              <w:right w:w="75" w:type="dxa"/>
            </w:tcMar>
            <w:hideMark/>
          </w:tcPr>
          <w:p w14:paraId="377114AB"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b/>
                <w:bCs/>
                <w:color w:val="000000"/>
                <w:lang w:eastAsia="en-GB"/>
              </w:rPr>
              <w:t>Balance sheet total</w:t>
            </w:r>
          </w:p>
        </w:tc>
      </w:tr>
      <w:tr w:rsidR="00512E52" w:rsidRPr="006F53EA" w14:paraId="3E6E7AAE" w14:textId="77777777" w:rsidTr="006F53EA">
        <w:tc>
          <w:tcPr>
            <w:tcW w:w="0" w:type="auto"/>
            <w:tcBorders>
              <w:top w:val="nil"/>
              <w:left w:val="single" w:sz="8" w:space="0" w:color="666666"/>
              <w:bottom w:val="single" w:sz="8" w:space="0" w:color="666666"/>
              <w:right w:val="single" w:sz="8" w:space="0" w:color="666666"/>
            </w:tcBorders>
            <w:tcMar>
              <w:top w:w="0" w:type="dxa"/>
              <w:left w:w="75" w:type="dxa"/>
              <w:bottom w:w="0" w:type="dxa"/>
              <w:right w:w="75" w:type="dxa"/>
            </w:tcMar>
            <w:hideMark/>
          </w:tcPr>
          <w:p w14:paraId="19BA8590"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Medium-sized</w:t>
            </w:r>
          </w:p>
        </w:tc>
        <w:tc>
          <w:tcPr>
            <w:tcW w:w="0" w:type="auto"/>
            <w:tcBorders>
              <w:top w:val="nil"/>
              <w:left w:val="nil"/>
              <w:bottom w:val="single" w:sz="8" w:space="0" w:color="666666"/>
              <w:right w:val="single" w:sz="8" w:space="0" w:color="666666"/>
            </w:tcBorders>
            <w:tcMar>
              <w:top w:w="0" w:type="dxa"/>
              <w:left w:w="75" w:type="dxa"/>
              <w:bottom w:w="0" w:type="dxa"/>
              <w:right w:w="75" w:type="dxa"/>
            </w:tcMar>
            <w:hideMark/>
          </w:tcPr>
          <w:p w14:paraId="23A2B783"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&lt; 250</w:t>
            </w:r>
          </w:p>
        </w:tc>
        <w:tc>
          <w:tcPr>
            <w:tcW w:w="0" w:type="auto"/>
            <w:gridSpan w:val="2"/>
            <w:tcBorders>
              <w:top w:val="nil"/>
              <w:left w:val="nil"/>
              <w:bottom w:val="single" w:sz="8" w:space="0" w:color="666666"/>
              <w:right w:val="single" w:sz="8" w:space="0" w:color="666666"/>
            </w:tcBorders>
            <w:tcMar>
              <w:top w:w="0" w:type="dxa"/>
              <w:left w:w="75" w:type="dxa"/>
              <w:bottom w:w="0" w:type="dxa"/>
              <w:right w:w="75" w:type="dxa"/>
            </w:tcMar>
            <w:hideMark/>
          </w:tcPr>
          <w:p w14:paraId="3466DA08"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 € 50 m</w:t>
            </w:r>
          </w:p>
        </w:tc>
        <w:tc>
          <w:tcPr>
            <w:tcW w:w="0" w:type="auto"/>
            <w:gridSpan w:val="2"/>
            <w:tcBorders>
              <w:top w:val="nil"/>
              <w:left w:val="nil"/>
              <w:bottom w:val="single" w:sz="8" w:space="0" w:color="666666"/>
              <w:right w:val="single" w:sz="8" w:space="0" w:color="666666"/>
            </w:tcBorders>
            <w:tcMar>
              <w:top w:w="0" w:type="dxa"/>
              <w:left w:w="75" w:type="dxa"/>
              <w:bottom w:w="0" w:type="dxa"/>
              <w:right w:w="75" w:type="dxa"/>
            </w:tcMar>
            <w:hideMark/>
          </w:tcPr>
          <w:p w14:paraId="68C73CA5"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 € 43 m</w:t>
            </w:r>
          </w:p>
        </w:tc>
      </w:tr>
      <w:tr w:rsidR="00512E52" w:rsidRPr="006F53EA" w14:paraId="21395493" w14:textId="77777777" w:rsidTr="006F53EA">
        <w:tc>
          <w:tcPr>
            <w:tcW w:w="0" w:type="auto"/>
            <w:tcBorders>
              <w:top w:val="nil"/>
              <w:left w:val="single" w:sz="8" w:space="0" w:color="666666"/>
              <w:bottom w:val="single" w:sz="8" w:space="0" w:color="666666"/>
              <w:right w:val="single" w:sz="8" w:space="0" w:color="666666"/>
            </w:tcBorders>
            <w:tcMar>
              <w:top w:w="0" w:type="dxa"/>
              <w:left w:w="75" w:type="dxa"/>
              <w:bottom w:w="0" w:type="dxa"/>
              <w:right w:w="75" w:type="dxa"/>
            </w:tcMar>
            <w:hideMark/>
          </w:tcPr>
          <w:p w14:paraId="2F653EE7"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Small</w:t>
            </w:r>
          </w:p>
        </w:tc>
        <w:tc>
          <w:tcPr>
            <w:tcW w:w="0" w:type="auto"/>
            <w:tcBorders>
              <w:top w:val="nil"/>
              <w:left w:val="nil"/>
              <w:bottom w:val="single" w:sz="8" w:space="0" w:color="666666"/>
              <w:right w:val="single" w:sz="8" w:space="0" w:color="666666"/>
            </w:tcBorders>
            <w:tcMar>
              <w:top w:w="0" w:type="dxa"/>
              <w:left w:w="75" w:type="dxa"/>
              <w:bottom w:w="0" w:type="dxa"/>
              <w:right w:w="75" w:type="dxa"/>
            </w:tcMar>
            <w:hideMark/>
          </w:tcPr>
          <w:p w14:paraId="5A2AE7A7"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&lt; 50</w:t>
            </w:r>
          </w:p>
        </w:tc>
        <w:tc>
          <w:tcPr>
            <w:tcW w:w="0" w:type="auto"/>
            <w:gridSpan w:val="2"/>
            <w:tcBorders>
              <w:top w:val="nil"/>
              <w:left w:val="nil"/>
              <w:bottom w:val="single" w:sz="8" w:space="0" w:color="666666"/>
              <w:right w:val="single" w:sz="8" w:space="0" w:color="666666"/>
            </w:tcBorders>
            <w:tcMar>
              <w:top w:w="0" w:type="dxa"/>
              <w:left w:w="75" w:type="dxa"/>
              <w:bottom w:w="0" w:type="dxa"/>
              <w:right w:w="75" w:type="dxa"/>
            </w:tcMar>
            <w:hideMark/>
          </w:tcPr>
          <w:p w14:paraId="3B05D34D"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 € 10 m</w:t>
            </w:r>
          </w:p>
        </w:tc>
        <w:tc>
          <w:tcPr>
            <w:tcW w:w="0" w:type="auto"/>
            <w:gridSpan w:val="2"/>
            <w:tcBorders>
              <w:top w:val="nil"/>
              <w:left w:val="nil"/>
              <w:bottom w:val="single" w:sz="8" w:space="0" w:color="666666"/>
              <w:right w:val="single" w:sz="8" w:space="0" w:color="666666"/>
            </w:tcBorders>
            <w:tcMar>
              <w:top w:w="0" w:type="dxa"/>
              <w:left w:w="75" w:type="dxa"/>
              <w:bottom w:w="0" w:type="dxa"/>
              <w:right w:w="75" w:type="dxa"/>
            </w:tcMar>
            <w:hideMark/>
          </w:tcPr>
          <w:p w14:paraId="6987FE72"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 € 10 m</w:t>
            </w:r>
          </w:p>
        </w:tc>
      </w:tr>
      <w:tr w:rsidR="00512E52" w:rsidRPr="006F53EA" w14:paraId="0C953D14" w14:textId="77777777" w:rsidTr="006F53EA">
        <w:tc>
          <w:tcPr>
            <w:tcW w:w="0" w:type="auto"/>
            <w:tcBorders>
              <w:top w:val="nil"/>
              <w:left w:val="single" w:sz="8" w:space="0" w:color="666666"/>
              <w:bottom w:val="single" w:sz="8" w:space="0" w:color="666666"/>
              <w:right w:val="single" w:sz="8" w:space="0" w:color="666666"/>
            </w:tcBorders>
            <w:tcMar>
              <w:top w:w="0" w:type="dxa"/>
              <w:left w:w="75" w:type="dxa"/>
              <w:bottom w:w="0" w:type="dxa"/>
              <w:right w:w="75" w:type="dxa"/>
            </w:tcMar>
            <w:hideMark/>
          </w:tcPr>
          <w:p w14:paraId="2F6E5A3A"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Micro</w:t>
            </w:r>
          </w:p>
        </w:tc>
        <w:tc>
          <w:tcPr>
            <w:tcW w:w="0" w:type="auto"/>
            <w:tcBorders>
              <w:top w:val="nil"/>
              <w:left w:val="nil"/>
              <w:bottom w:val="single" w:sz="8" w:space="0" w:color="666666"/>
              <w:right w:val="single" w:sz="8" w:space="0" w:color="666666"/>
            </w:tcBorders>
            <w:tcMar>
              <w:top w:w="0" w:type="dxa"/>
              <w:left w:w="75" w:type="dxa"/>
              <w:bottom w:w="0" w:type="dxa"/>
              <w:right w:w="75" w:type="dxa"/>
            </w:tcMar>
            <w:hideMark/>
          </w:tcPr>
          <w:p w14:paraId="37884035"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&lt; 10</w:t>
            </w:r>
          </w:p>
        </w:tc>
        <w:tc>
          <w:tcPr>
            <w:tcW w:w="0" w:type="auto"/>
            <w:gridSpan w:val="2"/>
            <w:tcBorders>
              <w:top w:val="nil"/>
              <w:left w:val="nil"/>
              <w:bottom w:val="single" w:sz="8" w:space="0" w:color="666666"/>
              <w:right w:val="single" w:sz="8" w:space="0" w:color="666666"/>
            </w:tcBorders>
            <w:tcMar>
              <w:top w:w="0" w:type="dxa"/>
              <w:left w:w="75" w:type="dxa"/>
              <w:bottom w:w="0" w:type="dxa"/>
              <w:right w:w="75" w:type="dxa"/>
            </w:tcMar>
            <w:hideMark/>
          </w:tcPr>
          <w:p w14:paraId="011402A1"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 € 2 m</w:t>
            </w:r>
          </w:p>
        </w:tc>
        <w:tc>
          <w:tcPr>
            <w:tcW w:w="0" w:type="auto"/>
            <w:gridSpan w:val="2"/>
            <w:tcBorders>
              <w:top w:val="nil"/>
              <w:left w:val="nil"/>
              <w:bottom w:val="single" w:sz="8" w:space="0" w:color="666666"/>
              <w:right w:val="single" w:sz="8" w:space="0" w:color="666666"/>
            </w:tcBorders>
            <w:tcMar>
              <w:top w:w="0" w:type="dxa"/>
              <w:left w:w="75" w:type="dxa"/>
              <w:bottom w:w="0" w:type="dxa"/>
              <w:right w:w="75" w:type="dxa"/>
            </w:tcMar>
            <w:hideMark/>
          </w:tcPr>
          <w:p w14:paraId="77B59800" w14:textId="77777777" w:rsidR="00512E52" w:rsidRPr="006F53EA" w:rsidRDefault="00512E52" w:rsidP="00512E52">
            <w:pPr>
              <w:framePr w:hSpace="180" w:wrap="around" w:vAnchor="text" w:hAnchor="page" w:x="1291" w:y="45"/>
              <w:spacing w:before="100" w:beforeAutospacing="1" w:after="100" w:afterAutospacing="1" w:line="254" w:lineRule="auto"/>
              <w:rPr>
                <w:rFonts w:ascii="Times New Roman" w:eastAsia="Times New Roman" w:hAnsi="Times New Roman" w:cs="Times New Roman"/>
                <w:lang w:eastAsia="en-GB"/>
              </w:rPr>
            </w:pPr>
            <w:r w:rsidRPr="006F53EA">
              <w:rPr>
                <w:rFonts w:ascii="Arial" w:eastAsia="Times New Roman" w:hAnsi="Arial" w:cs="Arial"/>
                <w:color w:val="000000"/>
                <w:lang w:eastAsia="en-GB"/>
              </w:rPr>
              <w:t>≤ € 2 m</w:t>
            </w:r>
          </w:p>
        </w:tc>
      </w:tr>
    </w:tbl>
    <w:p w14:paraId="5454D7B2" w14:textId="77777777" w:rsidR="006F53EA" w:rsidRDefault="00923118" w:rsidP="00923118">
      <w:pPr>
        <w:spacing w:before="100" w:beforeAutospacing="1" w:after="100" w:afterAutospacing="1" w:line="240" w:lineRule="auto"/>
        <w:rPr>
          <w:rFonts w:ascii="Arial" w:eastAsia="Times New Roman" w:hAnsi="Arial" w:cs="Arial"/>
          <w:lang w:eastAsia="en-GB"/>
        </w:rPr>
      </w:pPr>
      <w:r w:rsidRPr="00923118">
        <w:rPr>
          <w:rFonts w:ascii="Arial" w:eastAsia="Times New Roman" w:hAnsi="Arial" w:cs="Arial"/>
          <w:lang w:eastAsia="en-GB"/>
        </w:rPr>
        <w:t> </w:t>
      </w:r>
    </w:p>
    <w:tbl>
      <w:tblPr>
        <w:tblW w:w="0" w:type="auto"/>
        <w:tblCellMar>
          <w:left w:w="0" w:type="dxa"/>
          <w:right w:w="0" w:type="dxa"/>
        </w:tblCellMar>
        <w:tblLook w:val="04A0" w:firstRow="1" w:lastRow="0" w:firstColumn="1" w:lastColumn="0" w:noHBand="0" w:noVBand="1"/>
      </w:tblPr>
      <w:tblGrid>
        <w:gridCol w:w="2566"/>
        <w:gridCol w:w="2180"/>
        <w:gridCol w:w="1325"/>
        <w:gridCol w:w="206"/>
        <w:gridCol w:w="206"/>
        <w:gridCol w:w="2589"/>
      </w:tblGrid>
      <w:tr w:rsidR="006F53EA" w:rsidRPr="006F53EA" w14:paraId="6C675C24" w14:textId="77777777" w:rsidTr="006F53EA">
        <w:tc>
          <w:tcPr>
            <w:tcW w:w="3195" w:type="dxa"/>
            <w:tcBorders>
              <w:top w:val="nil"/>
              <w:left w:val="nil"/>
              <w:bottom w:val="nil"/>
              <w:right w:val="nil"/>
            </w:tcBorders>
            <w:vAlign w:val="center"/>
            <w:hideMark/>
          </w:tcPr>
          <w:p w14:paraId="55E3A0AE" w14:textId="77777777" w:rsidR="006F53EA" w:rsidRPr="006F53EA" w:rsidRDefault="006F53EA" w:rsidP="006F53EA">
            <w:pPr>
              <w:spacing w:after="0" w:line="240" w:lineRule="auto"/>
              <w:rPr>
                <w:rFonts w:ascii="Times New Roman" w:eastAsia="Times New Roman" w:hAnsi="Times New Roman" w:cs="Times New Roman"/>
                <w:lang w:eastAsia="en-GB"/>
              </w:rPr>
            </w:pPr>
          </w:p>
        </w:tc>
        <w:tc>
          <w:tcPr>
            <w:tcW w:w="2715" w:type="dxa"/>
            <w:tcBorders>
              <w:top w:val="nil"/>
              <w:left w:val="nil"/>
              <w:bottom w:val="nil"/>
              <w:right w:val="nil"/>
            </w:tcBorders>
            <w:vAlign w:val="center"/>
            <w:hideMark/>
          </w:tcPr>
          <w:p w14:paraId="189804F6" w14:textId="77777777" w:rsidR="006F53EA" w:rsidRPr="006F53EA" w:rsidRDefault="006F53EA" w:rsidP="006F53EA">
            <w:pPr>
              <w:spacing w:after="0" w:line="240" w:lineRule="auto"/>
              <w:rPr>
                <w:rFonts w:ascii="Times New Roman" w:eastAsia="Times New Roman" w:hAnsi="Times New Roman" w:cs="Times New Roman"/>
                <w:lang w:eastAsia="en-GB"/>
              </w:rPr>
            </w:pPr>
          </w:p>
        </w:tc>
        <w:tc>
          <w:tcPr>
            <w:tcW w:w="1650" w:type="dxa"/>
            <w:tcBorders>
              <w:top w:val="nil"/>
              <w:left w:val="nil"/>
              <w:bottom w:val="nil"/>
              <w:right w:val="nil"/>
            </w:tcBorders>
            <w:vAlign w:val="center"/>
            <w:hideMark/>
          </w:tcPr>
          <w:p w14:paraId="1B030B5D" w14:textId="77777777" w:rsidR="006F53EA" w:rsidRPr="006F53EA" w:rsidRDefault="006F53EA" w:rsidP="006F53EA">
            <w:pPr>
              <w:spacing w:after="0" w:line="240" w:lineRule="auto"/>
              <w:rPr>
                <w:rFonts w:ascii="Times New Roman" w:eastAsia="Times New Roman" w:hAnsi="Times New Roman" w:cs="Times New Roman"/>
                <w:lang w:eastAsia="en-GB"/>
              </w:rPr>
            </w:pPr>
          </w:p>
        </w:tc>
        <w:tc>
          <w:tcPr>
            <w:tcW w:w="255" w:type="dxa"/>
            <w:tcBorders>
              <w:top w:val="nil"/>
              <w:left w:val="nil"/>
              <w:bottom w:val="nil"/>
              <w:right w:val="nil"/>
            </w:tcBorders>
            <w:vAlign w:val="center"/>
            <w:hideMark/>
          </w:tcPr>
          <w:p w14:paraId="5ED7B8E3" w14:textId="77777777" w:rsidR="006F53EA" w:rsidRPr="006F53EA" w:rsidRDefault="006F53EA" w:rsidP="006F53EA">
            <w:pPr>
              <w:spacing w:after="0" w:line="240" w:lineRule="auto"/>
              <w:rPr>
                <w:rFonts w:ascii="Times New Roman" w:eastAsia="Times New Roman" w:hAnsi="Times New Roman" w:cs="Times New Roman"/>
                <w:lang w:eastAsia="en-GB"/>
              </w:rPr>
            </w:pPr>
          </w:p>
        </w:tc>
        <w:tc>
          <w:tcPr>
            <w:tcW w:w="255" w:type="dxa"/>
            <w:tcBorders>
              <w:top w:val="nil"/>
              <w:left w:val="nil"/>
              <w:bottom w:val="nil"/>
              <w:right w:val="nil"/>
            </w:tcBorders>
            <w:vAlign w:val="center"/>
            <w:hideMark/>
          </w:tcPr>
          <w:p w14:paraId="14DCCEF5" w14:textId="77777777" w:rsidR="006F53EA" w:rsidRPr="006F53EA" w:rsidRDefault="006F53EA" w:rsidP="006F53EA">
            <w:pPr>
              <w:spacing w:after="0" w:line="240" w:lineRule="auto"/>
              <w:rPr>
                <w:rFonts w:ascii="Times New Roman" w:eastAsia="Times New Roman" w:hAnsi="Times New Roman" w:cs="Times New Roman"/>
                <w:lang w:eastAsia="en-GB"/>
              </w:rPr>
            </w:pPr>
          </w:p>
        </w:tc>
        <w:tc>
          <w:tcPr>
            <w:tcW w:w="3225" w:type="dxa"/>
            <w:tcBorders>
              <w:top w:val="nil"/>
              <w:left w:val="nil"/>
              <w:bottom w:val="nil"/>
              <w:right w:val="nil"/>
            </w:tcBorders>
            <w:vAlign w:val="center"/>
            <w:hideMark/>
          </w:tcPr>
          <w:p w14:paraId="75FC5575" w14:textId="77777777" w:rsidR="006F53EA" w:rsidRPr="006F53EA" w:rsidRDefault="006F53EA" w:rsidP="006F53EA">
            <w:pPr>
              <w:spacing w:after="0" w:line="240" w:lineRule="auto"/>
              <w:rPr>
                <w:rFonts w:ascii="Times New Roman" w:eastAsia="Times New Roman" w:hAnsi="Times New Roman" w:cs="Times New Roman"/>
                <w:lang w:eastAsia="en-GB"/>
              </w:rPr>
            </w:pPr>
          </w:p>
        </w:tc>
      </w:tr>
    </w:tbl>
    <w:p w14:paraId="5446CDFC" w14:textId="77777777" w:rsidR="0045425C" w:rsidRPr="0045425C" w:rsidRDefault="0045425C" w:rsidP="00086C3F">
      <w:pPr>
        <w:spacing w:after="300" w:line="240" w:lineRule="auto"/>
        <w:rPr>
          <w:rFonts w:ascii="Arial" w:eastAsia="Times New Roman" w:hAnsi="Arial" w:cs="Arial"/>
          <w:b/>
          <w:lang w:eastAsia="en-GB"/>
        </w:rPr>
      </w:pPr>
    </w:p>
    <w:p w14:paraId="3B590E98" w14:textId="77777777" w:rsidR="0045425C" w:rsidRDefault="0045425C" w:rsidP="00086C3F">
      <w:pPr>
        <w:spacing w:after="300" w:line="240" w:lineRule="auto"/>
        <w:rPr>
          <w:rFonts w:ascii="Arial" w:eastAsia="Times New Roman" w:hAnsi="Arial" w:cs="Arial"/>
          <w:b/>
          <w:lang w:eastAsia="en-GB"/>
        </w:rPr>
      </w:pPr>
    </w:p>
    <w:p w14:paraId="6291B316" w14:textId="77777777" w:rsidR="0045425C" w:rsidRDefault="0045425C" w:rsidP="00086C3F">
      <w:pPr>
        <w:spacing w:after="300" w:line="240" w:lineRule="auto"/>
        <w:rPr>
          <w:rFonts w:ascii="Arial" w:eastAsia="Times New Roman" w:hAnsi="Arial" w:cs="Arial"/>
          <w:b/>
          <w:lang w:eastAsia="en-GB"/>
        </w:rPr>
      </w:pPr>
    </w:p>
    <w:p w14:paraId="0A9032FB" w14:textId="77777777" w:rsidR="0045425C" w:rsidRDefault="0045425C" w:rsidP="00086C3F">
      <w:pPr>
        <w:spacing w:after="300" w:line="240" w:lineRule="auto"/>
        <w:rPr>
          <w:rFonts w:ascii="Arial" w:eastAsia="Times New Roman" w:hAnsi="Arial" w:cs="Arial"/>
          <w:b/>
          <w:lang w:eastAsia="en-GB"/>
        </w:rPr>
      </w:pPr>
    </w:p>
    <w:p w14:paraId="59006E72" w14:textId="77777777" w:rsidR="0045425C" w:rsidRDefault="0045425C" w:rsidP="00086C3F">
      <w:pPr>
        <w:spacing w:after="300" w:line="240" w:lineRule="auto"/>
        <w:rPr>
          <w:rFonts w:ascii="Arial" w:eastAsia="Times New Roman" w:hAnsi="Arial" w:cs="Arial"/>
          <w:b/>
          <w:lang w:eastAsia="en-GB"/>
        </w:rPr>
      </w:pPr>
    </w:p>
    <w:p w14:paraId="0099EC27" w14:textId="77777777" w:rsidR="006F53EA" w:rsidRPr="0045425C" w:rsidRDefault="0045425C" w:rsidP="00086C3F">
      <w:pPr>
        <w:spacing w:after="300" w:line="240" w:lineRule="auto"/>
        <w:rPr>
          <w:rFonts w:ascii="Arial" w:eastAsia="Times New Roman" w:hAnsi="Arial" w:cs="Arial"/>
          <w:b/>
          <w:lang w:eastAsia="en-GB"/>
        </w:rPr>
      </w:pPr>
      <w:r w:rsidRPr="0045425C">
        <w:rPr>
          <w:rFonts w:ascii="Arial" w:eastAsia="Times New Roman" w:hAnsi="Arial" w:cs="Arial"/>
          <w:b/>
          <w:lang w:eastAsia="en-GB"/>
        </w:rPr>
        <w:t>COVID-19 EU Institutional measures to support SMEs</w:t>
      </w:r>
    </w:p>
    <w:p w14:paraId="2C053464" w14:textId="77777777" w:rsidR="003C3D16" w:rsidRPr="003C3D16" w:rsidRDefault="00551963" w:rsidP="003C3D16">
      <w:pPr>
        <w:spacing w:before="100" w:beforeAutospacing="1" w:after="100" w:afterAutospacing="1" w:line="240" w:lineRule="auto"/>
        <w:outlineLvl w:val="3"/>
        <w:rPr>
          <w:rFonts w:ascii="Arial" w:eastAsia="Times New Roman" w:hAnsi="Arial" w:cs="Arial"/>
          <w:bCs/>
          <w:lang w:eastAsia="en-GB"/>
        </w:rPr>
      </w:pPr>
      <w:r>
        <w:rPr>
          <w:rFonts w:ascii="Arial" w:eastAsia="Times New Roman" w:hAnsi="Arial" w:cs="Arial"/>
          <w:bCs/>
          <w:lang w:eastAsia="en-GB"/>
        </w:rPr>
        <w:t>On</w:t>
      </w:r>
      <w:r w:rsidR="003C3D16" w:rsidRPr="00551963">
        <w:rPr>
          <w:rFonts w:ascii="Arial" w:eastAsia="Times New Roman" w:hAnsi="Arial" w:cs="Arial"/>
          <w:bCs/>
          <w:lang w:eastAsia="en-GB"/>
        </w:rPr>
        <w:t xml:space="preserve"> 13</w:t>
      </w:r>
      <w:r w:rsidR="003C3D16" w:rsidRPr="00551963">
        <w:rPr>
          <w:rFonts w:ascii="Arial" w:eastAsia="Times New Roman" w:hAnsi="Arial" w:cs="Arial"/>
          <w:bCs/>
          <w:vertAlign w:val="superscript"/>
          <w:lang w:eastAsia="en-GB"/>
        </w:rPr>
        <w:t>th</w:t>
      </w:r>
      <w:r w:rsidR="003C3D16" w:rsidRPr="00551963">
        <w:rPr>
          <w:rFonts w:ascii="Arial" w:eastAsia="Times New Roman" w:hAnsi="Arial" w:cs="Arial"/>
          <w:bCs/>
          <w:lang w:eastAsia="en-GB"/>
        </w:rPr>
        <w:t xml:space="preserve"> March 2020, the </w:t>
      </w:r>
      <w:r w:rsidR="003C3D16" w:rsidRPr="003C3D16">
        <w:rPr>
          <w:rFonts w:ascii="Arial" w:eastAsia="Times New Roman" w:hAnsi="Arial" w:cs="Arial"/>
          <w:bCs/>
          <w:lang w:eastAsia="en-GB"/>
        </w:rPr>
        <w:t xml:space="preserve">European Commission issued a Communication on a </w:t>
      </w:r>
      <w:r w:rsidR="003C3D16" w:rsidRPr="003C3D16">
        <w:rPr>
          <w:rFonts w:ascii="Arial" w:eastAsia="Times New Roman" w:hAnsi="Arial" w:cs="Arial"/>
          <w:b/>
          <w:bCs/>
          <w:lang w:eastAsia="en-GB"/>
        </w:rPr>
        <w:t>Co-ordinated economic response to the COVID-19 Outbreak,</w:t>
      </w:r>
      <w:r w:rsidR="003C3D16" w:rsidRPr="003C3D16">
        <w:rPr>
          <w:rFonts w:ascii="Arial" w:eastAsia="Times New Roman" w:hAnsi="Arial" w:cs="Arial"/>
          <w:bCs/>
          <w:lang w:eastAsia="en-GB"/>
        </w:rPr>
        <w:t xml:space="preserve"> underlining its intention to use all the tools at its disposal and the immediate response to mitigate the economic impact of COVID-19 including liquidity measures, alleviating the impact on employment, and the Coronavirus Response Investment Initiative.</w:t>
      </w:r>
      <w:r w:rsidR="003C3D16" w:rsidRPr="00551963">
        <w:rPr>
          <w:rFonts w:ascii="Arial" w:eastAsia="Times New Roman" w:hAnsi="Arial" w:cs="Arial"/>
          <w:bCs/>
          <w:lang w:eastAsia="en-GB"/>
        </w:rPr>
        <w:t xml:space="preserve"> This was subsequently approved by the European </w:t>
      </w:r>
      <w:r w:rsidR="00252371" w:rsidRPr="00551963">
        <w:rPr>
          <w:rFonts w:ascii="Arial" w:eastAsia="Times New Roman" w:hAnsi="Arial" w:cs="Arial"/>
          <w:bCs/>
          <w:lang w:eastAsia="en-GB"/>
        </w:rPr>
        <w:t>Parliament</w:t>
      </w:r>
      <w:r w:rsidR="003C3D16" w:rsidRPr="00551963">
        <w:rPr>
          <w:rFonts w:ascii="Arial" w:eastAsia="Times New Roman" w:hAnsi="Arial" w:cs="Arial"/>
          <w:bCs/>
          <w:lang w:eastAsia="en-GB"/>
        </w:rPr>
        <w:t>.</w:t>
      </w:r>
    </w:p>
    <w:p w14:paraId="5EB797DA" w14:textId="77777777" w:rsidR="003C3D16" w:rsidRPr="003C3D16" w:rsidRDefault="003C3D16" w:rsidP="003C3D16">
      <w:pPr>
        <w:spacing w:before="100" w:beforeAutospacing="1" w:after="100" w:afterAutospacing="1" w:line="240" w:lineRule="auto"/>
        <w:outlineLvl w:val="3"/>
        <w:rPr>
          <w:rFonts w:ascii="Arial" w:eastAsia="Times New Roman" w:hAnsi="Arial" w:cs="Arial"/>
          <w:b/>
          <w:bCs/>
          <w:lang w:eastAsia="en-GB"/>
        </w:rPr>
      </w:pPr>
      <w:r w:rsidRPr="003C3D16">
        <w:rPr>
          <w:rFonts w:ascii="Arial" w:eastAsia="Times New Roman" w:hAnsi="Arial" w:cs="Arial"/>
          <w:bCs/>
          <w:lang w:eastAsia="en-GB"/>
        </w:rPr>
        <w:t>See full EC Communication under</w:t>
      </w:r>
      <w:r w:rsidRPr="003C3D16">
        <w:rPr>
          <w:rFonts w:ascii="Arial" w:eastAsia="Times New Roman" w:hAnsi="Arial" w:cs="Arial"/>
          <w:b/>
          <w:bCs/>
          <w:lang w:eastAsia="en-GB"/>
        </w:rPr>
        <w:t>:</w:t>
      </w:r>
    </w:p>
    <w:p w14:paraId="44495C07" w14:textId="77777777" w:rsidR="003C3D16" w:rsidRPr="003C3D16" w:rsidRDefault="00C53C82" w:rsidP="003C3D16">
      <w:pPr>
        <w:spacing w:before="100" w:beforeAutospacing="1" w:after="100" w:afterAutospacing="1" w:line="240" w:lineRule="auto"/>
        <w:outlineLvl w:val="3"/>
        <w:rPr>
          <w:rFonts w:ascii="Arial" w:eastAsia="Times New Roman" w:hAnsi="Arial" w:cs="Arial"/>
          <w:bCs/>
          <w:color w:val="0070C0"/>
          <w:lang w:eastAsia="en-GB"/>
        </w:rPr>
      </w:pPr>
      <w:hyperlink r:id="rId8" w:history="1">
        <w:r w:rsidR="003C3D16" w:rsidRPr="00551963">
          <w:rPr>
            <w:rFonts w:ascii="Arial" w:eastAsia="Times New Roman" w:hAnsi="Arial" w:cs="Arial"/>
            <w:bCs/>
            <w:color w:val="0563C1" w:themeColor="hyperlink"/>
            <w:u w:val="single"/>
            <w:lang w:eastAsia="en-GB"/>
          </w:rPr>
          <w:t>https://ec.europa.eu/info/sites/info/files/communication-coordinated-economic-response-covid19-march-2020_en.pdf</w:t>
        </w:r>
      </w:hyperlink>
    </w:p>
    <w:p w14:paraId="4D5C41D3" w14:textId="77777777" w:rsidR="003C3D16" w:rsidRPr="003C3D16" w:rsidRDefault="003C3D16" w:rsidP="003C3D16">
      <w:pPr>
        <w:spacing w:before="100" w:beforeAutospacing="1" w:after="100" w:afterAutospacing="1" w:line="240" w:lineRule="auto"/>
        <w:outlineLvl w:val="3"/>
        <w:rPr>
          <w:rFonts w:ascii="Arial" w:eastAsia="Times New Roman" w:hAnsi="Arial" w:cs="Arial"/>
          <w:bCs/>
          <w:lang w:eastAsia="en-GB"/>
        </w:rPr>
      </w:pPr>
      <w:r w:rsidRPr="003C3D16">
        <w:rPr>
          <w:rFonts w:ascii="Arial" w:eastAsia="Times New Roman" w:hAnsi="Arial" w:cs="Arial"/>
          <w:bCs/>
          <w:lang w:eastAsia="en-GB"/>
        </w:rPr>
        <w:t>In short, the Commission will:</w:t>
      </w:r>
    </w:p>
    <w:p w14:paraId="675607DA" w14:textId="77777777" w:rsidR="003C3D16" w:rsidRPr="003C3D16" w:rsidRDefault="003C3D16" w:rsidP="003C3D16">
      <w:pPr>
        <w:numPr>
          <w:ilvl w:val="0"/>
          <w:numId w:val="4"/>
        </w:numPr>
        <w:spacing w:before="100" w:beforeAutospacing="1" w:after="100" w:afterAutospacing="1" w:line="240" w:lineRule="auto"/>
        <w:contextualSpacing/>
        <w:outlineLvl w:val="3"/>
        <w:rPr>
          <w:rFonts w:ascii="Arial" w:eastAsia="Times New Roman" w:hAnsi="Arial" w:cs="Arial"/>
          <w:bCs/>
          <w:lang w:eastAsia="en-GB"/>
        </w:rPr>
      </w:pPr>
      <w:r w:rsidRPr="003C3D16">
        <w:rPr>
          <w:rFonts w:ascii="Arial" w:eastAsia="Times New Roman" w:hAnsi="Arial" w:cs="Arial"/>
          <w:bCs/>
          <w:lang w:eastAsia="en-GB"/>
        </w:rPr>
        <w:t>Adopt a €37bn ($42.5bn, £36.6bn) Coronavirus Response Investment Initiative, designed to support the European healthcare sector, the labour market and SMEs from all affected sectors.</w:t>
      </w:r>
    </w:p>
    <w:p w14:paraId="6A782BFB" w14:textId="77777777" w:rsidR="003C3D16" w:rsidRPr="003C3D16" w:rsidRDefault="003C3D16" w:rsidP="003C3D16">
      <w:pPr>
        <w:spacing w:before="100" w:beforeAutospacing="1" w:after="100" w:afterAutospacing="1" w:line="240" w:lineRule="auto"/>
        <w:ind w:left="720"/>
        <w:contextualSpacing/>
        <w:outlineLvl w:val="3"/>
        <w:rPr>
          <w:rFonts w:ascii="Arial" w:eastAsia="Times New Roman" w:hAnsi="Arial" w:cs="Arial"/>
          <w:bCs/>
          <w:lang w:eastAsia="en-GB"/>
        </w:rPr>
      </w:pPr>
    </w:p>
    <w:p w14:paraId="1F3C2AB5" w14:textId="77777777" w:rsidR="003C3D16" w:rsidRPr="003C3D16" w:rsidRDefault="003C3D16" w:rsidP="003C3D16">
      <w:pPr>
        <w:numPr>
          <w:ilvl w:val="0"/>
          <w:numId w:val="4"/>
        </w:numPr>
        <w:spacing w:before="100" w:beforeAutospacing="1" w:after="100" w:afterAutospacing="1" w:line="240" w:lineRule="auto"/>
        <w:contextualSpacing/>
        <w:outlineLvl w:val="3"/>
        <w:rPr>
          <w:rFonts w:ascii="Arial" w:eastAsia="Times New Roman" w:hAnsi="Arial" w:cs="Arial"/>
          <w:bCs/>
          <w:lang w:eastAsia="en-GB"/>
        </w:rPr>
      </w:pPr>
      <w:r w:rsidRPr="003C3D16">
        <w:rPr>
          <w:rFonts w:ascii="Arial" w:eastAsia="Times New Roman" w:hAnsi="Arial" w:cs="Arial"/>
          <w:bCs/>
          <w:lang w:eastAsia="en-GB"/>
        </w:rPr>
        <w:t>Deploy its existing instruments to support SMEs with liquidity, complementing the measures taken at a national level.</w:t>
      </w:r>
    </w:p>
    <w:p w14:paraId="623F1228" w14:textId="77777777" w:rsidR="003C3D16" w:rsidRPr="003C3D16" w:rsidRDefault="003C3D16" w:rsidP="003C3D16">
      <w:pPr>
        <w:spacing w:after="0" w:line="240" w:lineRule="auto"/>
        <w:ind w:left="720"/>
        <w:rPr>
          <w:rFonts w:ascii="Arial" w:eastAsia="Times New Roman" w:hAnsi="Arial" w:cs="Arial"/>
          <w:bCs/>
          <w:lang w:eastAsia="en-GB"/>
        </w:rPr>
      </w:pPr>
    </w:p>
    <w:p w14:paraId="28A86F69" w14:textId="77777777" w:rsidR="003C3D16" w:rsidRPr="003C3D16" w:rsidRDefault="003C3D16" w:rsidP="003C3D16">
      <w:pPr>
        <w:numPr>
          <w:ilvl w:val="0"/>
          <w:numId w:val="4"/>
        </w:numPr>
        <w:spacing w:before="100" w:beforeAutospacing="1" w:after="100" w:afterAutospacing="1" w:line="240" w:lineRule="auto"/>
        <w:contextualSpacing/>
        <w:outlineLvl w:val="3"/>
        <w:rPr>
          <w:rFonts w:ascii="Arial" w:eastAsia="Times New Roman" w:hAnsi="Arial" w:cs="Arial"/>
          <w:bCs/>
          <w:lang w:eastAsia="en-GB"/>
        </w:rPr>
      </w:pPr>
      <w:r w:rsidRPr="003C3D16">
        <w:rPr>
          <w:rFonts w:ascii="Arial" w:eastAsia="Times New Roman" w:hAnsi="Arial" w:cs="Arial"/>
          <w:bCs/>
          <w:lang w:eastAsia="en-GB"/>
        </w:rPr>
        <w:t xml:space="preserve">Urge national governments to assist businesses without needing state aid approval, by providing, </w:t>
      </w:r>
      <w:r w:rsidRPr="003C3D16">
        <w:rPr>
          <w:rFonts w:ascii="Arial" w:eastAsia="Times New Roman" w:hAnsi="Arial" w:cs="Arial"/>
          <w:bCs/>
          <w:i/>
          <w:lang w:eastAsia="en-GB"/>
        </w:rPr>
        <w:t>inter alia</w:t>
      </w:r>
      <w:r w:rsidRPr="003C3D16">
        <w:rPr>
          <w:rFonts w:ascii="Arial" w:eastAsia="Times New Roman" w:hAnsi="Arial" w:cs="Arial"/>
          <w:bCs/>
          <w:lang w:eastAsia="en-GB"/>
        </w:rPr>
        <w:t>, wage subsidies, suspending corporate tax payments or the payment of VAT: “The European rules on state aid enable governments to take effective action and give SMEs the urgent liquidity they need.”</w:t>
      </w:r>
    </w:p>
    <w:p w14:paraId="60C6D1AE" w14:textId="77777777" w:rsidR="003C3D16" w:rsidRPr="00551963" w:rsidRDefault="003C3D16" w:rsidP="00086C3F">
      <w:pPr>
        <w:spacing w:after="300" w:line="240" w:lineRule="auto"/>
        <w:rPr>
          <w:rFonts w:ascii="Arial" w:eastAsia="Times New Roman" w:hAnsi="Arial" w:cs="Arial"/>
          <w:lang w:eastAsia="en-GB"/>
        </w:rPr>
      </w:pPr>
    </w:p>
    <w:p w14:paraId="4666E570" w14:textId="77777777" w:rsidR="00086C3F" w:rsidRPr="00551963" w:rsidRDefault="003C3D16" w:rsidP="00086C3F">
      <w:pPr>
        <w:spacing w:after="300" w:line="240" w:lineRule="auto"/>
        <w:rPr>
          <w:rFonts w:ascii="Arial" w:eastAsia="Times New Roman" w:hAnsi="Arial" w:cs="Arial"/>
          <w:lang w:eastAsia="en-GB"/>
        </w:rPr>
      </w:pPr>
      <w:r w:rsidRPr="00551963">
        <w:rPr>
          <w:rFonts w:ascii="Arial" w:hAnsi="Arial" w:cs="Arial"/>
          <w:shd w:val="clear" w:color="auto" w:fill="FFFFFF"/>
        </w:rPr>
        <w:t>Of the total, some €</w:t>
      </w:r>
      <w:r w:rsidR="00252371" w:rsidRPr="00551963">
        <w:rPr>
          <w:rFonts w:ascii="Arial" w:hAnsi="Arial" w:cs="Arial"/>
          <w:shd w:val="clear" w:color="auto" w:fill="FFFFFF"/>
        </w:rPr>
        <w:t>8bn of</w:t>
      </w:r>
      <w:r w:rsidRPr="00551963">
        <w:rPr>
          <w:rFonts w:ascii="Arial" w:hAnsi="Arial" w:cs="Arial"/>
          <w:shd w:val="clear" w:color="auto" w:fill="FFFFFF"/>
        </w:rPr>
        <w:t xml:space="preserve"> investment liquidity will be released from unspent pre-financing in 2019 for programmes under the European Regional Development Fund, the European Social Fund, the Cohesion Fund and the European Maritime and Fisheries Fund. The </w:t>
      </w:r>
      <w:r w:rsidR="00506A03" w:rsidRPr="00551963">
        <w:rPr>
          <w:rFonts w:ascii="Arial" w:eastAsia="Times New Roman" w:hAnsi="Arial" w:cs="Arial"/>
          <w:lang w:eastAsia="en-GB"/>
        </w:rPr>
        <w:t>European Regional Development Fund</w:t>
      </w:r>
      <w:r w:rsidRPr="00551963">
        <w:rPr>
          <w:rFonts w:ascii="Arial" w:eastAsia="Times New Roman" w:hAnsi="Arial" w:cs="Arial"/>
          <w:lang w:eastAsia="en-GB"/>
        </w:rPr>
        <w:t xml:space="preserve"> noted that </w:t>
      </w:r>
      <w:r w:rsidR="00252371" w:rsidRPr="00551963">
        <w:rPr>
          <w:rFonts w:ascii="Arial" w:eastAsia="Times New Roman" w:hAnsi="Arial" w:cs="Arial"/>
          <w:lang w:eastAsia="en-GB"/>
        </w:rPr>
        <w:t>it “</w:t>
      </w:r>
      <w:r w:rsidR="00506A03" w:rsidRPr="00551963">
        <w:rPr>
          <w:rFonts w:ascii="Arial" w:eastAsia="Times New Roman" w:hAnsi="Arial" w:cs="Arial"/>
          <w:i/>
          <w:iCs/>
          <w:lang w:eastAsia="en-GB"/>
        </w:rPr>
        <w:t>should support the financing of working capital in SMEs where necessary […] to provide an effective response to a public health crisis</w:t>
      </w:r>
      <w:r w:rsidR="00506A03" w:rsidRPr="00551963">
        <w:rPr>
          <w:rFonts w:ascii="Arial" w:eastAsia="Times New Roman" w:hAnsi="Arial" w:cs="Arial"/>
          <w:lang w:eastAsia="en-GB"/>
        </w:rPr>
        <w:t xml:space="preserve">”. </w:t>
      </w:r>
    </w:p>
    <w:p w14:paraId="747CE2BC" w14:textId="77777777" w:rsidR="00C758CC" w:rsidRPr="00551963" w:rsidRDefault="00C758CC" w:rsidP="00C758CC">
      <w:pPr>
        <w:pStyle w:val="NormalWeb"/>
        <w:spacing w:before="0" w:beforeAutospacing="0" w:after="225" w:afterAutospacing="0"/>
        <w:rPr>
          <w:rFonts w:ascii="Arial" w:hAnsi="Arial" w:cs="Arial"/>
          <w:sz w:val="22"/>
          <w:szCs w:val="22"/>
        </w:rPr>
      </w:pPr>
      <w:r w:rsidRPr="00551963">
        <w:rPr>
          <w:rFonts w:ascii="Arial" w:hAnsi="Arial" w:cs="Arial"/>
          <w:sz w:val="22"/>
          <w:szCs w:val="22"/>
        </w:rPr>
        <w:t>On 16</w:t>
      </w:r>
      <w:r w:rsidRPr="00551963">
        <w:rPr>
          <w:rFonts w:ascii="Arial" w:hAnsi="Arial" w:cs="Arial"/>
          <w:sz w:val="22"/>
          <w:szCs w:val="22"/>
          <w:vertAlign w:val="superscript"/>
        </w:rPr>
        <w:t>th</w:t>
      </w:r>
      <w:r w:rsidRPr="00551963">
        <w:rPr>
          <w:rFonts w:ascii="Arial" w:hAnsi="Arial" w:cs="Arial"/>
          <w:sz w:val="22"/>
          <w:szCs w:val="22"/>
        </w:rPr>
        <w:t xml:space="preserve"> March 2020, t</w:t>
      </w:r>
      <w:r w:rsidR="00506A03" w:rsidRPr="00551963">
        <w:rPr>
          <w:rFonts w:ascii="Arial" w:hAnsi="Arial" w:cs="Arial"/>
          <w:sz w:val="22"/>
          <w:szCs w:val="22"/>
        </w:rPr>
        <w:t>he European Investment Bank (EIB)</w:t>
      </w:r>
      <w:r w:rsidRPr="00551963">
        <w:rPr>
          <w:rFonts w:ascii="Arial" w:hAnsi="Arial" w:cs="Arial"/>
          <w:sz w:val="22"/>
          <w:szCs w:val="22"/>
        </w:rPr>
        <w:t xml:space="preserve"> proposed a plan to mobilise up to </w:t>
      </w:r>
      <w:r w:rsidRPr="00551963">
        <w:rPr>
          <w:rFonts w:ascii="Arial" w:hAnsi="Arial" w:cs="Arial"/>
          <w:bCs/>
          <w:sz w:val="22"/>
          <w:szCs w:val="22"/>
        </w:rPr>
        <w:t>€40 billion</w:t>
      </w:r>
      <w:r w:rsidRPr="00551963">
        <w:rPr>
          <w:rFonts w:ascii="Arial" w:hAnsi="Arial" w:cs="Arial"/>
          <w:sz w:val="22"/>
          <w:szCs w:val="22"/>
        </w:rPr>
        <w:t xml:space="preserve"> of financing. This will go towards bridging loans, credit holidays and other measures designed to alleviate liquidity and working capital constraints for SMEs and mid-caps. The EIB Group, including the </w:t>
      </w:r>
      <w:hyperlink r:id="rId9" w:tgtFrame="_blank" w:history="1">
        <w:r w:rsidRPr="00551963">
          <w:rPr>
            <w:rFonts w:ascii="Arial" w:hAnsi="Arial" w:cs="Arial"/>
            <w:sz w:val="22"/>
            <w:szCs w:val="22"/>
          </w:rPr>
          <w:t>European Investment Fund</w:t>
        </w:r>
      </w:hyperlink>
      <w:r w:rsidRPr="00551963">
        <w:rPr>
          <w:rFonts w:ascii="Arial" w:hAnsi="Arial" w:cs="Arial"/>
          <w:sz w:val="22"/>
          <w:szCs w:val="22"/>
        </w:rPr>
        <w:t>, which specialises in support for SMEs, will work through financial intermediaries in the Member States and in partnership with national promotional banks.</w:t>
      </w:r>
    </w:p>
    <w:p w14:paraId="76133975" w14:textId="77777777" w:rsidR="00C758CC" w:rsidRPr="00C758CC" w:rsidRDefault="00C758CC" w:rsidP="00C758CC">
      <w:pPr>
        <w:spacing w:before="225" w:after="225" w:line="240" w:lineRule="auto"/>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The proposed financing package consists of:</w:t>
      </w:r>
    </w:p>
    <w:p w14:paraId="5A9044C0" w14:textId="77777777" w:rsidR="00C758CC" w:rsidRPr="00C758CC" w:rsidRDefault="00C758CC" w:rsidP="00C758CC">
      <w:pPr>
        <w:numPr>
          <w:ilvl w:val="0"/>
          <w:numId w:val="5"/>
        </w:numPr>
        <w:spacing w:before="100" w:beforeAutospacing="1" w:after="75" w:line="240" w:lineRule="auto"/>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lastRenderedPageBreak/>
        <w:t>Dedicated guarantee schemes to banks based on existing programmes for immediate deployment, mobilising up to </w:t>
      </w:r>
      <w:r w:rsidRPr="00C758CC">
        <w:rPr>
          <w:rFonts w:ascii="Arial" w:eastAsia="Times New Roman" w:hAnsi="Arial" w:cs="Arial"/>
          <w:b/>
          <w:bCs/>
          <w:color w:val="000000" w:themeColor="text1"/>
          <w:lang w:eastAsia="en-GB"/>
        </w:rPr>
        <w:t>€20 billion</w:t>
      </w:r>
      <w:r w:rsidRPr="00C758CC">
        <w:rPr>
          <w:rFonts w:ascii="Arial" w:eastAsia="Times New Roman" w:hAnsi="Arial" w:cs="Arial"/>
          <w:color w:val="000000" w:themeColor="text1"/>
          <w:lang w:eastAsia="en-GB"/>
        </w:rPr>
        <w:t> of financing;</w:t>
      </w:r>
    </w:p>
    <w:p w14:paraId="6BAA4E57" w14:textId="77777777" w:rsidR="00C758CC" w:rsidRPr="00C758CC" w:rsidRDefault="00C758CC" w:rsidP="00C758CC">
      <w:pPr>
        <w:numPr>
          <w:ilvl w:val="0"/>
          <w:numId w:val="5"/>
        </w:numPr>
        <w:spacing w:before="100" w:beforeAutospacing="1" w:after="75" w:line="240" w:lineRule="auto"/>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Dedicated liquidity lines to banks to ensure additional working capital support for SMEs and mid-caps of </w:t>
      </w:r>
      <w:r w:rsidRPr="00C758CC">
        <w:rPr>
          <w:rFonts w:ascii="Arial" w:eastAsia="Times New Roman" w:hAnsi="Arial" w:cs="Arial"/>
          <w:b/>
          <w:bCs/>
          <w:color w:val="000000" w:themeColor="text1"/>
          <w:lang w:eastAsia="en-GB"/>
        </w:rPr>
        <w:t>€10 billion</w:t>
      </w:r>
      <w:r w:rsidRPr="00C758CC">
        <w:rPr>
          <w:rFonts w:ascii="Arial" w:eastAsia="Times New Roman" w:hAnsi="Arial" w:cs="Arial"/>
          <w:color w:val="000000" w:themeColor="text1"/>
          <w:lang w:eastAsia="en-GB"/>
        </w:rPr>
        <w:t>;</w:t>
      </w:r>
    </w:p>
    <w:p w14:paraId="7F8C6294" w14:textId="77777777" w:rsidR="00C758CC" w:rsidRPr="00C758CC" w:rsidRDefault="00C758CC" w:rsidP="00C758CC">
      <w:pPr>
        <w:numPr>
          <w:ilvl w:val="0"/>
          <w:numId w:val="5"/>
        </w:numPr>
        <w:spacing w:before="100" w:beforeAutospacing="1" w:after="75" w:line="240" w:lineRule="auto"/>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Dedicated asset-backed securities (ABS) purchasing programmes to allow banks to transfer risk on portfolios of SME loans, mobilising another </w:t>
      </w:r>
      <w:r w:rsidRPr="00C758CC">
        <w:rPr>
          <w:rFonts w:ascii="Arial" w:eastAsia="Times New Roman" w:hAnsi="Arial" w:cs="Arial"/>
          <w:b/>
          <w:bCs/>
          <w:color w:val="000000" w:themeColor="text1"/>
          <w:lang w:eastAsia="en-GB"/>
        </w:rPr>
        <w:t>€10 billion</w:t>
      </w:r>
      <w:r w:rsidRPr="00C758CC">
        <w:rPr>
          <w:rFonts w:ascii="Arial" w:eastAsia="Times New Roman" w:hAnsi="Arial" w:cs="Arial"/>
          <w:color w:val="000000" w:themeColor="text1"/>
          <w:lang w:eastAsia="en-GB"/>
        </w:rPr>
        <w:t> of support.</w:t>
      </w:r>
    </w:p>
    <w:p w14:paraId="47AEB516" w14:textId="77777777" w:rsidR="00C758CC" w:rsidRPr="00C758CC" w:rsidRDefault="00C758CC" w:rsidP="00C758CC">
      <w:pPr>
        <w:spacing w:before="225" w:after="225" w:line="240" w:lineRule="auto"/>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All these actions can be implemented quickly to ease liquidity shortages and will be implemented in partnership with national promotional banks wherever feasible. </w:t>
      </w:r>
    </w:p>
    <w:p w14:paraId="1465E76F" w14:textId="77777777" w:rsidR="00551963" w:rsidRPr="00551963" w:rsidRDefault="00506A03" w:rsidP="006D2549">
      <w:pPr>
        <w:spacing w:after="300" w:line="240" w:lineRule="auto"/>
        <w:rPr>
          <w:rFonts w:ascii="Arial" w:hAnsi="Arial" w:cs="Arial"/>
          <w:color w:val="000000" w:themeColor="text1"/>
        </w:rPr>
      </w:pPr>
      <w:r w:rsidRPr="00551963">
        <w:rPr>
          <w:rFonts w:ascii="Arial" w:eastAsia="Times New Roman" w:hAnsi="Arial" w:cs="Arial"/>
          <w:lang w:eastAsia="en-GB"/>
        </w:rPr>
        <w:t xml:space="preserve"> </w:t>
      </w:r>
      <w:r w:rsidR="003D1A88" w:rsidRPr="00551963">
        <w:rPr>
          <w:rStyle w:val="Strong"/>
          <w:rFonts w:ascii="Arial" w:hAnsi="Arial" w:cs="Arial"/>
          <w:b w:val="0"/>
          <w:color w:val="000000" w:themeColor="text1"/>
        </w:rPr>
        <w:t>On 2</w:t>
      </w:r>
      <w:r w:rsidR="003D1A88" w:rsidRPr="00551963">
        <w:rPr>
          <w:rStyle w:val="Strong"/>
          <w:rFonts w:ascii="Arial" w:hAnsi="Arial" w:cs="Arial"/>
          <w:b w:val="0"/>
          <w:color w:val="000000" w:themeColor="text1"/>
          <w:vertAlign w:val="superscript"/>
        </w:rPr>
        <w:t>nd</w:t>
      </w:r>
      <w:r w:rsidR="003D1A88" w:rsidRPr="00551963">
        <w:rPr>
          <w:rStyle w:val="Strong"/>
          <w:rFonts w:ascii="Arial" w:hAnsi="Arial" w:cs="Arial"/>
          <w:b w:val="0"/>
          <w:color w:val="000000" w:themeColor="text1"/>
        </w:rPr>
        <w:t xml:space="preserve"> April 2020, the EC proposed </w:t>
      </w:r>
      <w:hyperlink r:id="rId10" w:history="1">
        <w:r w:rsidR="003D1A88" w:rsidRPr="00551963">
          <w:rPr>
            <w:rStyle w:val="Hyperlink"/>
            <w:rFonts w:ascii="Arial" w:hAnsi="Arial" w:cs="Arial"/>
            <w:bCs/>
            <w:color w:val="000000" w:themeColor="text1"/>
            <w:u w:val="none"/>
          </w:rPr>
          <w:t>far-ranging measures</w:t>
        </w:r>
      </w:hyperlink>
      <w:r w:rsidR="003D1A88" w:rsidRPr="00551963">
        <w:rPr>
          <w:rStyle w:val="Strong"/>
          <w:rFonts w:ascii="Arial" w:hAnsi="Arial" w:cs="Arial"/>
          <w:b w:val="0"/>
          <w:color w:val="000000" w:themeColor="text1"/>
        </w:rPr>
        <w:t xml:space="preserve"> to mobilise some </w:t>
      </w:r>
      <w:r w:rsidR="006A0271" w:rsidRPr="00551963">
        <w:rPr>
          <w:rFonts w:ascii="Arial" w:hAnsi="Arial" w:cs="Arial"/>
          <w:color w:val="000000" w:themeColor="text1"/>
          <w:shd w:val="clear" w:color="auto" w:fill="FFFFFF"/>
        </w:rPr>
        <w:t>€100</w:t>
      </w:r>
      <w:r w:rsidR="003D1A88" w:rsidRPr="00551963">
        <w:rPr>
          <w:rFonts w:ascii="Arial" w:hAnsi="Arial" w:cs="Arial"/>
          <w:color w:val="000000" w:themeColor="text1"/>
          <w:shd w:val="clear" w:color="auto" w:fill="FFFFFF"/>
        </w:rPr>
        <w:t>bn to launch a new initiative called </w:t>
      </w:r>
      <w:r w:rsidR="003D1A88" w:rsidRPr="00551963">
        <w:rPr>
          <w:rStyle w:val="Strong"/>
          <w:rFonts w:ascii="Arial" w:hAnsi="Arial" w:cs="Arial"/>
          <w:b w:val="0"/>
          <w:color w:val="000000" w:themeColor="text1"/>
        </w:rPr>
        <w:t xml:space="preserve">SURE - </w:t>
      </w:r>
      <w:r w:rsidR="003D1A88" w:rsidRPr="00551963">
        <w:rPr>
          <w:rStyle w:val="Strong"/>
          <w:rFonts w:ascii="Arial" w:hAnsi="Arial" w:cs="Arial"/>
          <w:color w:val="000000" w:themeColor="text1"/>
        </w:rPr>
        <w:t>Support mitigating Unemployment Risks in Emergency</w:t>
      </w:r>
      <w:r w:rsidR="003D1A88" w:rsidRPr="00551963">
        <w:rPr>
          <w:rStyle w:val="Strong"/>
          <w:rFonts w:ascii="Arial" w:hAnsi="Arial" w:cs="Arial"/>
          <w:b w:val="0"/>
          <w:color w:val="000000" w:themeColor="text1"/>
        </w:rPr>
        <w:t xml:space="preserve">, helping </w:t>
      </w:r>
      <w:r w:rsidR="003D1A88" w:rsidRPr="00551963">
        <w:rPr>
          <w:rFonts w:ascii="Arial" w:hAnsi="Arial" w:cs="Arial"/>
          <w:color w:val="000000" w:themeColor="text1"/>
          <w:shd w:val="clear" w:color="auto" w:fill="FFFFFF"/>
        </w:rPr>
        <w:t xml:space="preserve">to preserve jobs and support families. </w:t>
      </w:r>
      <w:r w:rsidR="003D1A88" w:rsidRPr="00551963">
        <w:rPr>
          <w:rStyle w:val="Strong"/>
          <w:rFonts w:ascii="Arial" w:hAnsi="Arial" w:cs="Arial"/>
          <w:b w:val="0"/>
          <w:color w:val="000000" w:themeColor="text1"/>
        </w:rPr>
        <w:t>Farmers</w:t>
      </w:r>
      <w:r w:rsidR="003D1A88" w:rsidRPr="00551963">
        <w:rPr>
          <w:rFonts w:ascii="Arial" w:hAnsi="Arial" w:cs="Arial"/>
          <w:color w:val="000000" w:themeColor="text1"/>
          <w:shd w:val="clear" w:color="auto" w:fill="FFFFFF"/>
        </w:rPr>
        <w:t xml:space="preserve"> and </w:t>
      </w:r>
      <w:r w:rsidR="003D1A88" w:rsidRPr="00551963">
        <w:rPr>
          <w:rStyle w:val="Strong"/>
          <w:rFonts w:ascii="Arial" w:hAnsi="Arial" w:cs="Arial"/>
          <w:b w:val="0"/>
          <w:color w:val="000000" w:themeColor="text1"/>
        </w:rPr>
        <w:t>fishermen</w:t>
      </w:r>
      <w:r w:rsidR="006A0271" w:rsidRPr="00551963">
        <w:rPr>
          <w:rFonts w:ascii="Arial" w:hAnsi="Arial" w:cs="Arial"/>
          <w:color w:val="000000" w:themeColor="text1"/>
          <w:shd w:val="clear" w:color="auto" w:fill="FFFFFF"/>
        </w:rPr>
        <w:t xml:space="preserve"> will also receive support</w:t>
      </w:r>
      <w:r w:rsidR="003D1A88" w:rsidRPr="00551963">
        <w:rPr>
          <w:rFonts w:ascii="Arial" w:hAnsi="Arial" w:cs="Arial"/>
          <w:color w:val="000000" w:themeColor="text1"/>
          <w:shd w:val="clear" w:color="auto" w:fill="FFFFFF"/>
        </w:rPr>
        <w:t xml:space="preserve">. An </w:t>
      </w:r>
      <w:r w:rsidR="003D1A88" w:rsidRPr="00551963">
        <w:rPr>
          <w:rStyle w:val="Strong"/>
          <w:rFonts w:ascii="Arial" w:hAnsi="Arial" w:cs="Arial"/>
          <w:b w:val="0"/>
          <w:color w:val="000000" w:themeColor="text1"/>
        </w:rPr>
        <w:t>EU Solidarity for Health Initiative</w:t>
      </w:r>
      <w:r w:rsidR="003D1A88" w:rsidRPr="00551963">
        <w:rPr>
          <w:rFonts w:ascii="Arial" w:hAnsi="Arial" w:cs="Arial"/>
          <w:color w:val="000000" w:themeColor="text1"/>
          <w:shd w:val="clear" w:color="auto" w:fill="FFFFFF"/>
        </w:rPr>
        <w:t xml:space="preserve"> of €3bn will cater for the needs of Member States’ health systems.</w:t>
      </w:r>
      <w:r w:rsidR="006A0271" w:rsidRPr="00551963">
        <w:rPr>
          <w:rFonts w:ascii="Arial" w:hAnsi="Arial" w:cs="Arial"/>
          <w:color w:val="000000" w:themeColor="text1"/>
          <w:shd w:val="clear" w:color="auto" w:fill="FFFFFF"/>
        </w:rPr>
        <w:t xml:space="preserve">  The </w:t>
      </w:r>
      <w:r w:rsidR="008B160A" w:rsidRPr="00551963">
        <w:rPr>
          <w:rFonts w:ascii="Arial" w:hAnsi="Arial" w:cs="Arial"/>
          <w:spacing w:val="3"/>
        </w:rPr>
        <w:t xml:space="preserve">temporary </w:t>
      </w:r>
      <w:r w:rsidR="008B160A" w:rsidRPr="00551963">
        <w:rPr>
          <w:rStyle w:val="Emphasis"/>
          <w:rFonts w:ascii="Arial" w:hAnsi="Arial" w:cs="Arial"/>
          <w:spacing w:val="3"/>
        </w:rPr>
        <w:t>Support to mitigate Unemployment Risks in an Emergency</w:t>
      </w:r>
      <w:r w:rsidR="008B160A" w:rsidRPr="00551963">
        <w:rPr>
          <w:rFonts w:ascii="Arial" w:hAnsi="Arial" w:cs="Arial"/>
          <w:spacing w:val="3"/>
        </w:rPr>
        <w:t xml:space="preserve"> will be provided in the form of loans on favourable terms from the EU to the Member States, </w:t>
      </w:r>
      <w:r w:rsidR="006A0271" w:rsidRPr="00551963">
        <w:rPr>
          <w:rFonts w:ascii="Arial" w:hAnsi="Arial" w:cs="Arial"/>
          <w:spacing w:val="3"/>
        </w:rPr>
        <w:t xml:space="preserve">and </w:t>
      </w:r>
      <w:r w:rsidR="008B160A" w:rsidRPr="00551963">
        <w:rPr>
          <w:rFonts w:ascii="Arial" w:hAnsi="Arial" w:cs="Arial"/>
          <w:spacing w:val="3"/>
        </w:rPr>
        <w:t>support Member States in the creation of short-time work schemes or support measures for the self-employed.</w:t>
      </w:r>
    </w:p>
    <w:p w14:paraId="246C4A05" w14:textId="77777777" w:rsidR="00C758CC" w:rsidRPr="00551963" w:rsidRDefault="003D1A88">
      <w:pPr>
        <w:rPr>
          <w:rFonts w:ascii="Arial" w:hAnsi="Arial" w:cs="Arial"/>
          <w:color w:val="000000" w:themeColor="text1"/>
        </w:rPr>
      </w:pPr>
      <w:r w:rsidRPr="00551963">
        <w:rPr>
          <w:rFonts w:ascii="Arial" w:hAnsi="Arial" w:cs="Arial"/>
          <w:color w:val="000000" w:themeColor="text1"/>
          <w:spacing w:val="3"/>
        </w:rPr>
        <w:t>On 12</w:t>
      </w:r>
      <w:r w:rsidRPr="00551963">
        <w:rPr>
          <w:rFonts w:ascii="Arial" w:hAnsi="Arial" w:cs="Arial"/>
          <w:color w:val="000000" w:themeColor="text1"/>
          <w:spacing w:val="3"/>
          <w:vertAlign w:val="superscript"/>
        </w:rPr>
        <w:t>th</w:t>
      </w:r>
      <w:r w:rsidR="0045425C">
        <w:rPr>
          <w:rFonts w:ascii="Arial" w:hAnsi="Arial" w:cs="Arial"/>
          <w:color w:val="000000" w:themeColor="text1"/>
          <w:spacing w:val="3"/>
        </w:rPr>
        <w:t xml:space="preserve"> March 2020, the </w:t>
      </w:r>
      <w:r w:rsidR="0045425C">
        <w:rPr>
          <w:rFonts w:ascii="Arial" w:hAnsi="Arial" w:cs="Arial"/>
          <w:color w:val="000000" w:themeColor="text1"/>
          <w:shd w:val="clear" w:color="auto" w:fill="FFFFFF"/>
        </w:rPr>
        <w:t xml:space="preserve">European Commission called </w:t>
      </w:r>
      <w:r w:rsidRPr="00551963">
        <w:rPr>
          <w:rStyle w:val="Strong"/>
          <w:rFonts w:ascii="Arial" w:hAnsi="Arial" w:cs="Arial"/>
          <w:b w:val="0"/>
          <w:color w:val="000000" w:themeColor="text1"/>
        </w:rPr>
        <w:t xml:space="preserve">for </w:t>
      </w:r>
      <w:r w:rsidR="00252371" w:rsidRPr="00551963">
        <w:rPr>
          <w:rStyle w:val="Strong"/>
          <w:rFonts w:ascii="Arial" w:hAnsi="Arial" w:cs="Arial"/>
          <w:b w:val="0"/>
          <w:color w:val="000000" w:themeColor="text1"/>
        </w:rPr>
        <w:t>start-ups</w:t>
      </w:r>
      <w:r w:rsidRPr="00551963">
        <w:rPr>
          <w:rFonts w:ascii="Arial" w:hAnsi="Arial" w:cs="Arial"/>
          <w:color w:val="000000" w:themeColor="text1"/>
          <w:shd w:val="clear" w:color="auto" w:fill="FFFFFF"/>
        </w:rPr>
        <w:t xml:space="preserve"> and </w:t>
      </w:r>
      <w:r w:rsidRPr="00551963">
        <w:rPr>
          <w:rStyle w:val="Strong"/>
          <w:rFonts w:ascii="Arial" w:hAnsi="Arial" w:cs="Arial"/>
          <w:b w:val="0"/>
          <w:color w:val="000000" w:themeColor="text1"/>
        </w:rPr>
        <w:t>SMEs</w:t>
      </w:r>
      <w:r w:rsidRPr="00551963">
        <w:rPr>
          <w:rFonts w:ascii="Arial" w:hAnsi="Arial" w:cs="Arial"/>
          <w:b/>
          <w:color w:val="000000" w:themeColor="text1"/>
          <w:shd w:val="clear" w:color="auto" w:fill="FFFFFF"/>
        </w:rPr>
        <w:t xml:space="preserve"> </w:t>
      </w:r>
      <w:r w:rsidRPr="00551963">
        <w:rPr>
          <w:rFonts w:ascii="Arial" w:hAnsi="Arial" w:cs="Arial"/>
          <w:color w:val="000000" w:themeColor="text1"/>
          <w:shd w:val="clear" w:color="auto" w:fill="FFFFFF"/>
        </w:rPr>
        <w:t xml:space="preserve">with technologies and </w:t>
      </w:r>
      <w:r w:rsidRPr="00551963">
        <w:rPr>
          <w:rStyle w:val="Strong"/>
          <w:rFonts w:ascii="Arial" w:hAnsi="Arial" w:cs="Arial"/>
          <w:b w:val="0"/>
          <w:color w:val="000000" w:themeColor="text1"/>
        </w:rPr>
        <w:t>innovations</w:t>
      </w:r>
      <w:r w:rsidRPr="00551963">
        <w:rPr>
          <w:rFonts w:ascii="Arial" w:hAnsi="Arial" w:cs="Arial"/>
          <w:color w:val="000000" w:themeColor="text1"/>
          <w:shd w:val="clear" w:color="auto" w:fill="FFFFFF"/>
        </w:rPr>
        <w:t xml:space="preserve"> that could help in</w:t>
      </w:r>
      <w:r w:rsidRPr="00551963">
        <w:rPr>
          <w:rFonts w:ascii="Arial" w:hAnsi="Arial" w:cs="Arial"/>
          <w:b/>
          <w:color w:val="000000" w:themeColor="text1"/>
          <w:shd w:val="clear" w:color="auto" w:fill="FFFFFF"/>
        </w:rPr>
        <w:t xml:space="preserve"> </w:t>
      </w:r>
      <w:r w:rsidRPr="00551963">
        <w:rPr>
          <w:rStyle w:val="Strong"/>
          <w:rFonts w:ascii="Arial" w:hAnsi="Arial" w:cs="Arial"/>
          <w:b w:val="0"/>
          <w:color w:val="000000" w:themeColor="text1"/>
        </w:rPr>
        <w:t>treating</w:t>
      </w:r>
      <w:r w:rsidRPr="00551963">
        <w:rPr>
          <w:rFonts w:ascii="Arial" w:hAnsi="Arial" w:cs="Arial"/>
          <w:color w:val="000000" w:themeColor="text1"/>
          <w:shd w:val="clear" w:color="auto" w:fill="FFFFFF"/>
        </w:rPr>
        <w:t xml:space="preserve">, testing, monitoring or other aspects of the Coronavirus outbreak to apply urgently to the next round of funding from the European </w:t>
      </w:r>
      <w:r w:rsidRPr="00551963">
        <w:rPr>
          <w:rStyle w:val="Strong"/>
          <w:rFonts w:ascii="Arial" w:hAnsi="Arial" w:cs="Arial"/>
          <w:b w:val="0"/>
          <w:color w:val="000000" w:themeColor="text1"/>
        </w:rPr>
        <w:t>Innovation</w:t>
      </w:r>
      <w:r w:rsidRPr="00551963">
        <w:rPr>
          <w:rFonts w:ascii="Arial" w:hAnsi="Arial" w:cs="Arial"/>
          <w:color w:val="000000" w:themeColor="text1"/>
          <w:shd w:val="clear" w:color="auto" w:fill="FFFFFF"/>
        </w:rPr>
        <w:t xml:space="preserve"> Council.</w:t>
      </w:r>
      <w:r w:rsidRPr="00551963">
        <w:rPr>
          <w:rFonts w:ascii="Arial" w:hAnsi="Arial" w:cs="Arial"/>
          <w:color w:val="000000" w:themeColor="text1"/>
          <w:spacing w:val="3"/>
        </w:rPr>
        <w:t xml:space="preserve"> This has a total budget of budget of €164m and no pre-defined topics.</w:t>
      </w:r>
    </w:p>
    <w:p w14:paraId="69605A3C" w14:textId="77777777" w:rsidR="00C758CC" w:rsidRPr="00551963" w:rsidRDefault="00C758CC" w:rsidP="00C758CC">
      <w:pPr>
        <w:pStyle w:val="Heading1"/>
        <w:spacing w:before="0" w:line="240" w:lineRule="auto"/>
        <w:textAlignment w:val="baseline"/>
        <w:rPr>
          <w:rFonts w:ascii="Arial" w:eastAsia="Times New Roman" w:hAnsi="Arial" w:cs="Arial"/>
          <w:bCs/>
          <w:color w:val="000000" w:themeColor="text1"/>
          <w:kern w:val="36"/>
          <w:sz w:val="22"/>
          <w:szCs w:val="22"/>
          <w:lang w:eastAsia="en-GB"/>
        </w:rPr>
      </w:pPr>
      <w:r w:rsidRPr="00551963">
        <w:rPr>
          <w:rFonts w:ascii="Arial" w:hAnsi="Arial" w:cs="Arial"/>
          <w:color w:val="000000" w:themeColor="text1"/>
          <w:sz w:val="22"/>
          <w:szCs w:val="22"/>
        </w:rPr>
        <w:t>On 12</w:t>
      </w:r>
      <w:r w:rsidRPr="00551963">
        <w:rPr>
          <w:rFonts w:ascii="Arial" w:hAnsi="Arial" w:cs="Arial"/>
          <w:color w:val="000000" w:themeColor="text1"/>
          <w:sz w:val="22"/>
          <w:szCs w:val="22"/>
          <w:vertAlign w:val="superscript"/>
        </w:rPr>
        <w:t>th</w:t>
      </w:r>
      <w:r w:rsidRPr="00551963">
        <w:rPr>
          <w:rFonts w:ascii="Arial" w:hAnsi="Arial" w:cs="Arial"/>
          <w:color w:val="000000" w:themeColor="text1"/>
          <w:sz w:val="22"/>
          <w:szCs w:val="22"/>
        </w:rPr>
        <w:t xml:space="preserve"> March 2020, the ECB </w:t>
      </w:r>
      <w:r w:rsidRPr="00551963">
        <w:rPr>
          <w:rFonts w:ascii="Arial" w:eastAsia="Times New Roman" w:hAnsi="Arial" w:cs="Arial"/>
          <w:bCs/>
          <w:color w:val="000000" w:themeColor="text1"/>
          <w:kern w:val="36"/>
          <w:sz w:val="22"/>
          <w:szCs w:val="22"/>
          <w:lang w:eastAsia="en-GB"/>
        </w:rPr>
        <w:t xml:space="preserve">announced easing of conditions for </w:t>
      </w:r>
      <w:r w:rsidRPr="006D2549">
        <w:rPr>
          <w:rFonts w:ascii="Arial" w:eastAsia="Times New Roman" w:hAnsi="Arial" w:cs="Arial"/>
          <w:b/>
          <w:bCs/>
          <w:color w:val="000000" w:themeColor="text1"/>
          <w:kern w:val="36"/>
          <w:sz w:val="22"/>
          <w:szCs w:val="22"/>
          <w:lang w:eastAsia="en-GB"/>
        </w:rPr>
        <w:t>targeted longer-term refinancing operations (TLTRO III</w:t>
      </w:r>
      <w:r w:rsidRPr="00551963">
        <w:rPr>
          <w:rFonts w:ascii="Arial" w:eastAsia="Times New Roman" w:hAnsi="Arial" w:cs="Arial"/>
          <w:bCs/>
          <w:color w:val="000000" w:themeColor="text1"/>
          <w:kern w:val="36"/>
          <w:sz w:val="22"/>
          <w:szCs w:val="22"/>
          <w:lang w:eastAsia="en-GB"/>
        </w:rPr>
        <w:t>),</w:t>
      </w:r>
      <w:r w:rsidR="00BC1B2A" w:rsidRPr="00551963">
        <w:rPr>
          <w:rFonts w:ascii="Arial" w:hAnsi="Arial" w:cs="Arial"/>
          <w:color w:val="000000" w:themeColor="text1"/>
          <w:spacing w:val="3"/>
          <w:sz w:val="22"/>
          <w:szCs w:val="22"/>
        </w:rPr>
        <w:t xml:space="preserve"> aimed at banks’ lending to SMEs</w:t>
      </w:r>
      <w:r w:rsidRPr="00551963">
        <w:rPr>
          <w:rFonts w:ascii="Arial" w:eastAsia="Times New Roman" w:hAnsi="Arial" w:cs="Arial"/>
          <w:bCs/>
          <w:color w:val="000000" w:themeColor="text1"/>
          <w:kern w:val="36"/>
          <w:sz w:val="22"/>
          <w:szCs w:val="22"/>
          <w:lang w:eastAsia="en-GB"/>
        </w:rPr>
        <w:t xml:space="preserve"> </w:t>
      </w:r>
      <w:r w:rsidR="00252371" w:rsidRPr="00551963">
        <w:rPr>
          <w:rFonts w:ascii="Arial" w:eastAsia="Times New Roman" w:hAnsi="Arial" w:cs="Arial"/>
          <w:bCs/>
          <w:color w:val="000000" w:themeColor="text1"/>
          <w:kern w:val="36"/>
          <w:sz w:val="22"/>
          <w:szCs w:val="22"/>
          <w:lang w:eastAsia="en-GB"/>
        </w:rPr>
        <w:t>consisting</w:t>
      </w:r>
      <w:r w:rsidRPr="00551963">
        <w:rPr>
          <w:rFonts w:ascii="Arial" w:eastAsia="Times New Roman" w:hAnsi="Arial" w:cs="Arial"/>
          <w:bCs/>
          <w:color w:val="000000" w:themeColor="text1"/>
          <w:kern w:val="36"/>
          <w:sz w:val="22"/>
          <w:szCs w:val="22"/>
          <w:lang w:eastAsia="en-GB"/>
        </w:rPr>
        <w:t xml:space="preserve"> of: </w:t>
      </w:r>
    </w:p>
    <w:p w14:paraId="3072A762" w14:textId="77777777" w:rsidR="00BC1B2A" w:rsidRPr="00551963" w:rsidRDefault="00BC1B2A" w:rsidP="00BC1B2A">
      <w:pPr>
        <w:rPr>
          <w:rFonts w:ascii="Arial" w:hAnsi="Arial" w:cs="Arial"/>
          <w:color w:val="000000" w:themeColor="text1"/>
          <w:lang w:eastAsia="en-GB"/>
        </w:rPr>
      </w:pPr>
    </w:p>
    <w:p w14:paraId="398C308C" w14:textId="77777777" w:rsidR="00C758CC" w:rsidRPr="00C758CC" w:rsidRDefault="00C758CC" w:rsidP="00BC1B2A">
      <w:pPr>
        <w:numPr>
          <w:ilvl w:val="0"/>
          <w:numId w:val="6"/>
        </w:numPr>
        <w:spacing w:after="150" w:line="240" w:lineRule="auto"/>
        <w:ind w:left="420"/>
        <w:textAlignment w:val="baseline"/>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More favourable operations to support bank lending to those affected most by the spread of the coronavirus, in particular small and medium-sized enterprises</w:t>
      </w:r>
    </w:p>
    <w:p w14:paraId="522F2B72" w14:textId="77777777" w:rsidR="00C758CC" w:rsidRPr="00C758CC" w:rsidRDefault="00C758CC" w:rsidP="00C758CC">
      <w:pPr>
        <w:numPr>
          <w:ilvl w:val="0"/>
          <w:numId w:val="6"/>
        </w:numPr>
        <w:spacing w:after="150" w:line="240" w:lineRule="auto"/>
        <w:ind w:left="420"/>
        <w:textAlignment w:val="baseline"/>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Interest rate on TLTRO III reduced by 25 basis points and can be as low as 25 basis points below average deposit facility rate during period from June 2020 to June 2021 for all TLTRO III operations outstanding during that period</w:t>
      </w:r>
    </w:p>
    <w:p w14:paraId="76A2A447" w14:textId="77777777" w:rsidR="00C758CC" w:rsidRPr="00C758CC" w:rsidRDefault="00C758CC" w:rsidP="00C758CC">
      <w:pPr>
        <w:numPr>
          <w:ilvl w:val="0"/>
          <w:numId w:val="6"/>
        </w:numPr>
        <w:spacing w:after="150" w:line="240" w:lineRule="auto"/>
        <w:ind w:left="420"/>
        <w:textAlignment w:val="baseline"/>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Borrowing allowance raised to 50% of eligible loans</w:t>
      </w:r>
    </w:p>
    <w:p w14:paraId="58853F43" w14:textId="77777777" w:rsidR="00C758CC" w:rsidRPr="00C758CC" w:rsidRDefault="00C758CC" w:rsidP="00C758CC">
      <w:pPr>
        <w:numPr>
          <w:ilvl w:val="0"/>
          <w:numId w:val="6"/>
        </w:numPr>
        <w:spacing w:after="150" w:line="240" w:lineRule="auto"/>
        <w:ind w:left="420"/>
        <w:textAlignment w:val="baseline"/>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Bid limit per operation removed on all future operations</w:t>
      </w:r>
    </w:p>
    <w:p w14:paraId="0AD8D6C4" w14:textId="77777777" w:rsidR="00C758CC" w:rsidRPr="00C758CC" w:rsidRDefault="00C758CC" w:rsidP="00C758CC">
      <w:pPr>
        <w:numPr>
          <w:ilvl w:val="0"/>
          <w:numId w:val="6"/>
        </w:numPr>
        <w:spacing w:after="150" w:line="240" w:lineRule="auto"/>
        <w:ind w:left="420"/>
        <w:textAlignment w:val="baseline"/>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Lending performance threshold reduced to 0%</w:t>
      </w:r>
    </w:p>
    <w:p w14:paraId="3BB3E67C" w14:textId="77777777" w:rsidR="00C758CC" w:rsidRPr="00C758CC" w:rsidRDefault="00C758CC" w:rsidP="00C758CC">
      <w:pPr>
        <w:numPr>
          <w:ilvl w:val="0"/>
          <w:numId w:val="6"/>
        </w:numPr>
        <w:spacing w:after="150" w:line="240" w:lineRule="auto"/>
        <w:ind w:left="420"/>
        <w:textAlignment w:val="baseline"/>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Early repayment option available after one year from settlement starting in September 2021</w:t>
      </w:r>
    </w:p>
    <w:p w14:paraId="7F9DEF3F" w14:textId="77777777" w:rsidR="00C758CC" w:rsidRPr="00C758CC" w:rsidRDefault="00C758CC" w:rsidP="00C758CC">
      <w:pPr>
        <w:numPr>
          <w:ilvl w:val="0"/>
          <w:numId w:val="6"/>
        </w:numPr>
        <w:spacing w:after="150" w:line="240" w:lineRule="auto"/>
        <w:ind w:left="420"/>
        <w:textAlignment w:val="baseline"/>
        <w:rPr>
          <w:rFonts w:ascii="Arial" w:eastAsia="Times New Roman" w:hAnsi="Arial" w:cs="Arial"/>
          <w:color w:val="000000" w:themeColor="text1"/>
          <w:lang w:eastAsia="en-GB"/>
        </w:rPr>
      </w:pPr>
      <w:r w:rsidRPr="00C758CC">
        <w:rPr>
          <w:rFonts w:ascii="Arial" w:eastAsia="Times New Roman" w:hAnsi="Arial" w:cs="Arial"/>
          <w:color w:val="000000" w:themeColor="text1"/>
          <w:lang w:eastAsia="en-GB"/>
        </w:rPr>
        <w:t xml:space="preserve">Modification accompanied by series of longer-term refinancing operations (LTROs) designed to bridge liquidity needs until </w:t>
      </w:r>
      <w:r w:rsidR="006D2549">
        <w:rPr>
          <w:rFonts w:ascii="Arial" w:eastAsia="Times New Roman" w:hAnsi="Arial" w:cs="Arial"/>
          <w:color w:val="000000" w:themeColor="text1"/>
          <w:lang w:eastAsia="en-GB"/>
        </w:rPr>
        <w:t>settlement of 4</w:t>
      </w:r>
      <w:r w:rsidR="006D2549" w:rsidRPr="006D2549">
        <w:rPr>
          <w:rFonts w:ascii="Arial" w:eastAsia="Times New Roman" w:hAnsi="Arial" w:cs="Arial"/>
          <w:color w:val="000000" w:themeColor="text1"/>
          <w:vertAlign w:val="superscript"/>
          <w:lang w:eastAsia="en-GB"/>
        </w:rPr>
        <w:t>th</w:t>
      </w:r>
      <w:r w:rsidR="006D2549">
        <w:rPr>
          <w:rFonts w:ascii="Arial" w:eastAsia="Times New Roman" w:hAnsi="Arial" w:cs="Arial"/>
          <w:color w:val="000000" w:themeColor="text1"/>
          <w:lang w:eastAsia="en-GB"/>
        </w:rPr>
        <w:t xml:space="preserve"> </w:t>
      </w:r>
      <w:r w:rsidRPr="00C758CC">
        <w:rPr>
          <w:rFonts w:ascii="Arial" w:eastAsia="Times New Roman" w:hAnsi="Arial" w:cs="Arial"/>
          <w:color w:val="000000" w:themeColor="text1"/>
          <w:lang w:eastAsia="en-GB"/>
        </w:rPr>
        <w:t xml:space="preserve">TLTRO III operation </w:t>
      </w:r>
      <w:r w:rsidR="006D2549">
        <w:rPr>
          <w:rFonts w:ascii="Arial" w:eastAsia="Times New Roman" w:hAnsi="Arial" w:cs="Arial"/>
          <w:color w:val="000000" w:themeColor="text1"/>
          <w:lang w:eastAsia="en-GB"/>
        </w:rPr>
        <w:t>(J</w:t>
      </w:r>
      <w:r w:rsidRPr="00C758CC">
        <w:rPr>
          <w:rFonts w:ascii="Arial" w:eastAsia="Times New Roman" w:hAnsi="Arial" w:cs="Arial"/>
          <w:color w:val="000000" w:themeColor="text1"/>
          <w:lang w:eastAsia="en-GB"/>
        </w:rPr>
        <w:t xml:space="preserve">une </w:t>
      </w:r>
      <w:r w:rsidR="006D2549">
        <w:rPr>
          <w:rFonts w:ascii="Arial" w:eastAsia="Times New Roman" w:hAnsi="Arial" w:cs="Arial"/>
          <w:color w:val="000000" w:themeColor="text1"/>
          <w:lang w:eastAsia="en-GB"/>
        </w:rPr>
        <w:t>2020)</w:t>
      </w:r>
    </w:p>
    <w:p w14:paraId="68F039AC" w14:textId="77777777" w:rsidR="00506A03" w:rsidRPr="00551963" w:rsidRDefault="00506A03">
      <w:pPr>
        <w:rPr>
          <w:rFonts w:ascii="Arial" w:hAnsi="Arial" w:cs="Arial"/>
          <w:color w:val="000000" w:themeColor="text1"/>
        </w:rPr>
      </w:pPr>
    </w:p>
    <w:p w14:paraId="62E16A00" w14:textId="77777777" w:rsidR="00252371" w:rsidRPr="00252371" w:rsidRDefault="00252371" w:rsidP="00252371">
      <w:pPr>
        <w:spacing w:after="0" w:line="240" w:lineRule="auto"/>
        <w:rPr>
          <w:rFonts w:ascii="Arial" w:hAnsi="Arial" w:cs="Arial"/>
          <w:b/>
        </w:rPr>
      </w:pPr>
      <w:r w:rsidRPr="00252371">
        <w:rPr>
          <w:rFonts w:ascii="Arial" w:hAnsi="Arial" w:cs="Arial"/>
          <w:b/>
        </w:rPr>
        <w:t>EPP manifesto: a European Solidarity Pact against the coronavirus pandemic</w:t>
      </w:r>
    </w:p>
    <w:p w14:paraId="7CAC7F20" w14:textId="77777777" w:rsidR="00252371" w:rsidRPr="00252371" w:rsidRDefault="00252371" w:rsidP="00252371">
      <w:pPr>
        <w:spacing w:after="0" w:line="240" w:lineRule="auto"/>
        <w:rPr>
          <w:rFonts w:ascii="Calibri" w:hAnsi="Calibri" w:cs="Calibri"/>
        </w:rPr>
      </w:pPr>
    </w:p>
    <w:p w14:paraId="0095FBDE" w14:textId="77777777" w:rsidR="0045425C" w:rsidRDefault="00252371" w:rsidP="00252371">
      <w:pPr>
        <w:spacing w:after="0" w:line="240" w:lineRule="auto"/>
        <w:rPr>
          <w:rFonts w:ascii="Arial" w:hAnsi="Arial" w:cs="Arial"/>
        </w:rPr>
      </w:pPr>
      <w:r w:rsidRPr="00252371">
        <w:rPr>
          <w:rFonts w:ascii="Arial" w:hAnsi="Arial" w:cs="Arial"/>
        </w:rPr>
        <w:t>On 7</w:t>
      </w:r>
      <w:r w:rsidRPr="00252371">
        <w:rPr>
          <w:rFonts w:ascii="Arial" w:hAnsi="Arial" w:cs="Arial"/>
          <w:vertAlign w:val="superscript"/>
        </w:rPr>
        <w:t>th</w:t>
      </w:r>
      <w:r w:rsidRPr="00252371">
        <w:rPr>
          <w:rFonts w:ascii="Arial" w:hAnsi="Arial" w:cs="Arial"/>
        </w:rPr>
        <w:t xml:space="preserve"> April 2020, the largest MEP group within the European Parliament, the European Peoples Party (EPP), issued its manifesto listing measures that the</w:t>
      </w:r>
      <w:r>
        <w:rPr>
          <w:rFonts w:ascii="Arial" w:hAnsi="Arial" w:cs="Arial"/>
        </w:rPr>
        <w:t xml:space="preserve"> EC shoul</w:t>
      </w:r>
      <w:r w:rsidRPr="00252371">
        <w:rPr>
          <w:rFonts w:ascii="Arial" w:hAnsi="Arial" w:cs="Arial"/>
        </w:rPr>
        <w:t xml:space="preserve">d </w:t>
      </w:r>
      <w:r>
        <w:rPr>
          <w:rFonts w:ascii="Arial" w:hAnsi="Arial" w:cs="Arial"/>
        </w:rPr>
        <w:t xml:space="preserve">consider </w:t>
      </w:r>
      <w:r w:rsidRPr="00252371">
        <w:rPr>
          <w:rFonts w:ascii="Arial" w:hAnsi="Arial" w:cs="Arial"/>
        </w:rPr>
        <w:t>adopt</w:t>
      </w:r>
      <w:r>
        <w:rPr>
          <w:rFonts w:ascii="Arial" w:hAnsi="Arial" w:cs="Arial"/>
        </w:rPr>
        <w:t>ing</w:t>
      </w:r>
      <w:r w:rsidRPr="00252371">
        <w:rPr>
          <w:rFonts w:ascii="Arial" w:hAnsi="Arial" w:cs="Arial"/>
        </w:rPr>
        <w:t xml:space="preserve"> in the face of the COVID-19 crisis</w:t>
      </w:r>
      <w:r w:rsidR="0045425C">
        <w:rPr>
          <w:rFonts w:ascii="Arial" w:hAnsi="Arial" w:cs="Arial"/>
        </w:rPr>
        <w:t>, and underlined the importance of supporting SMEs.   At the time of writing, much of the EPP SME narrative is being introduced into a Resolution in preparation under a cross-EU parliamentary party initiative.</w:t>
      </w:r>
    </w:p>
    <w:p w14:paraId="14EC3643" w14:textId="77777777" w:rsidR="0045425C" w:rsidRDefault="0045425C" w:rsidP="00252371">
      <w:pPr>
        <w:spacing w:after="0" w:line="240" w:lineRule="auto"/>
        <w:rPr>
          <w:rFonts w:ascii="Arial" w:hAnsi="Arial" w:cs="Arial"/>
        </w:rPr>
      </w:pPr>
    </w:p>
    <w:p w14:paraId="44EA6E2D" w14:textId="77777777" w:rsidR="0045425C" w:rsidRDefault="0045425C" w:rsidP="00252371">
      <w:pPr>
        <w:spacing w:after="0" w:line="240" w:lineRule="auto"/>
        <w:rPr>
          <w:rFonts w:ascii="Arial" w:hAnsi="Arial" w:cs="Arial"/>
        </w:rPr>
      </w:pPr>
    </w:p>
    <w:p w14:paraId="70917E69" w14:textId="77777777" w:rsidR="00252371" w:rsidRDefault="00252371" w:rsidP="00252371">
      <w:pPr>
        <w:spacing w:after="0" w:line="240" w:lineRule="auto"/>
        <w:rPr>
          <w:rFonts w:ascii="Arial" w:hAnsi="Arial" w:cs="Arial"/>
        </w:rPr>
      </w:pPr>
      <w:r>
        <w:rPr>
          <w:rFonts w:ascii="Arial" w:hAnsi="Arial" w:cs="Arial"/>
        </w:rPr>
        <w:lastRenderedPageBreak/>
        <w:t>Highlighted below are their references to assisting SME’s:</w:t>
      </w:r>
    </w:p>
    <w:p w14:paraId="18AB845F" w14:textId="77777777" w:rsidR="00252371" w:rsidRDefault="00252371" w:rsidP="00252371">
      <w:pPr>
        <w:spacing w:after="0" w:line="240" w:lineRule="auto"/>
        <w:rPr>
          <w:rFonts w:ascii="Arial" w:hAnsi="Arial" w:cs="Arial"/>
        </w:rPr>
      </w:pPr>
    </w:p>
    <w:p w14:paraId="0701FEAA" w14:textId="77777777" w:rsidR="00252371" w:rsidRPr="00252371" w:rsidRDefault="00252371" w:rsidP="00252371">
      <w:pPr>
        <w:numPr>
          <w:ilvl w:val="0"/>
          <w:numId w:val="7"/>
        </w:numPr>
        <w:spacing w:after="0" w:line="240" w:lineRule="auto"/>
        <w:contextualSpacing/>
        <w:rPr>
          <w:rFonts w:ascii="Arial" w:hAnsi="Arial" w:cs="Arial"/>
        </w:rPr>
      </w:pPr>
      <w:r w:rsidRPr="00252371">
        <w:rPr>
          <w:rFonts w:ascii="Arial" w:hAnsi="Arial" w:cs="Arial"/>
        </w:rPr>
        <w:t xml:space="preserve">Address the urgent liquidity needs of our companies, notably SMEs and the self- employed, through an increase in the EIB’s equity and the establishment of a dedicated extraordinary EIB fund to provide liquidity to SMEs facing a temporary and dramatic drop in their revenues because of the crisis. Money drawn from this fund could be used to pay wages or debt obligations and would come with a very low or zero interest rate;  </w:t>
      </w:r>
    </w:p>
    <w:p w14:paraId="7293848A" w14:textId="77777777" w:rsidR="00252371" w:rsidRPr="00252371" w:rsidRDefault="00252371" w:rsidP="00252371">
      <w:pPr>
        <w:spacing w:after="0" w:line="240" w:lineRule="auto"/>
        <w:ind w:left="720"/>
        <w:contextualSpacing/>
        <w:rPr>
          <w:rFonts w:ascii="Arial" w:hAnsi="Arial" w:cs="Arial"/>
        </w:rPr>
      </w:pPr>
    </w:p>
    <w:p w14:paraId="20509899" w14:textId="77777777" w:rsidR="00252371" w:rsidRPr="00252371" w:rsidRDefault="00252371" w:rsidP="00252371">
      <w:pPr>
        <w:numPr>
          <w:ilvl w:val="0"/>
          <w:numId w:val="7"/>
        </w:numPr>
        <w:spacing w:after="0" w:line="240" w:lineRule="auto"/>
        <w:contextualSpacing/>
        <w:rPr>
          <w:rFonts w:ascii="Arial" w:hAnsi="Arial" w:cs="Arial"/>
        </w:rPr>
      </w:pPr>
      <w:r w:rsidRPr="00252371">
        <w:rPr>
          <w:rFonts w:ascii="Arial" w:hAnsi="Arial" w:cs="Arial"/>
        </w:rPr>
        <w:t xml:space="preserve">Insist on a pro-active role of the banking sector in this crisis, allowing companies and citizens who are suffering financially as a result of COVID19 to temporary lower or halt debt or mortgage repayments, providing maximum flexibility in the treatment of non-performing loans, temporarily suspending dividend payments and lowering the often excessive interest rates on current account overdrafts; supervisors must demonstrate a high degree of flexibility to this end. </w:t>
      </w:r>
    </w:p>
    <w:p w14:paraId="4EFADFCD" w14:textId="77777777" w:rsidR="00252371" w:rsidRPr="00252371" w:rsidRDefault="00252371" w:rsidP="00252371">
      <w:pPr>
        <w:spacing w:after="0" w:line="240" w:lineRule="auto"/>
        <w:ind w:left="720"/>
        <w:contextualSpacing/>
        <w:rPr>
          <w:rFonts w:ascii="Arial" w:hAnsi="Arial" w:cs="Arial"/>
        </w:rPr>
      </w:pPr>
    </w:p>
    <w:p w14:paraId="09689A7C" w14:textId="77777777" w:rsidR="00252371" w:rsidRPr="00252371" w:rsidRDefault="00252371" w:rsidP="00252371">
      <w:pPr>
        <w:numPr>
          <w:ilvl w:val="0"/>
          <w:numId w:val="7"/>
        </w:numPr>
        <w:spacing w:after="0" w:line="240" w:lineRule="auto"/>
        <w:contextualSpacing/>
        <w:rPr>
          <w:rFonts w:ascii="Arial" w:hAnsi="Arial" w:cs="Arial"/>
        </w:rPr>
      </w:pPr>
      <w:r w:rsidRPr="00252371">
        <w:rPr>
          <w:rFonts w:ascii="Arial" w:hAnsi="Arial" w:cs="Arial"/>
        </w:rPr>
        <w:t>Support SMEs through a COVID-19-screening of EU legislation and a clear reduction of red tape including regulatory action taken by EU agencies; furthermore it should be ensured that planned legislation does not create additional uncertainty during the crisis;</w:t>
      </w:r>
    </w:p>
    <w:p w14:paraId="0CFB46D0" w14:textId="77777777" w:rsidR="00252371" w:rsidRDefault="00252371" w:rsidP="00252371">
      <w:pPr>
        <w:spacing w:after="0" w:line="240" w:lineRule="auto"/>
        <w:rPr>
          <w:rFonts w:ascii="Arial" w:hAnsi="Arial" w:cs="Arial"/>
        </w:rPr>
      </w:pPr>
    </w:p>
    <w:p w14:paraId="1ED86325" w14:textId="77777777" w:rsidR="00252371" w:rsidRPr="00252371" w:rsidRDefault="00252371" w:rsidP="00252371">
      <w:pPr>
        <w:spacing w:after="0" w:line="240" w:lineRule="auto"/>
        <w:rPr>
          <w:rFonts w:ascii="Arial" w:hAnsi="Arial" w:cs="Arial"/>
        </w:rPr>
      </w:pPr>
    </w:p>
    <w:p w14:paraId="6E604427" w14:textId="77777777" w:rsidR="00C758CC" w:rsidRPr="00551963" w:rsidRDefault="00551963">
      <w:pPr>
        <w:rPr>
          <w:rFonts w:ascii="Arial" w:hAnsi="Arial" w:cs="Arial"/>
        </w:rPr>
      </w:pPr>
      <w:r w:rsidRPr="00551963">
        <w:rPr>
          <w:rFonts w:ascii="Arial" w:hAnsi="Arial" w:cs="Arial"/>
          <w:b/>
        </w:rPr>
        <w:t>More recent developments</w:t>
      </w:r>
    </w:p>
    <w:p w14:paraId="7E237178" w14:textId="77777777" w:rsidR="00551963" w:rsidRDefault="00506A03" w:rsidP="00506A03">
      <w:pPr>
        <w:pStyle w:val="NormalWeb"/>
        <w:rPr>
          <w:rFonts w:ascii="Arial" w:hAnsi="Arial" w:cs="Arial"/>
          <w:color w:val="000000"/>
          <w:sz w:val="22"/>
          <w:szCs w:val="22"/>
        </w:rPr>
      </w:pPr>
      <w:r w:rsidRPr="00551963">
        <w:rPr>
          <w:rFonts w:ascii="Arial" w:hAnsi="Arial" w:cs="Arial"/>
          <w:sz w:val="22"/>
          <w:szCs w:val="22"/>
        </w:rPr>
        <w:t>On 7</w:t>
      </w:r>
      <w:r w:rsidRPr="00551963">
        <w:rPr>
          <w:rFonts w:ascii="Arial" w:hAnsi="Arial" w:cs="Arial"/>
          <w:sz w:val="22"/>
          <w:szCs w:val="22"/>
          <w:vertAlign w:val="superscript"/>
        </w:rPr>
        <w:t>th</w:t>
      </w:r>
      <w:r w:rsidRPr="00551963">
        <w:rPr>
          <w:rFonts w:ascii="Arial" w:hAnsi="Arial" w:cs="Arial"/>
          <w:sz w:val="22"/>
          <w:szCs w:val="22"/>
        </w:rPr>
        <w:t xml:space="preserve"> April 2020, </w:t>
      </w:r>
      <w:r w:rsidR="00551963">
        <w:rPr>
          <w:rFonts w:ascii="Arial" w:hAnsi="Arial" w:cs="Arial"/>
          <w:color w:val="000000"/>
          <w:sz w:val="22"/>
          <w:szCs w:val="22"/>
        </w:rPr>
        <w:t xml:space="preserve">the European Commission </w:t>
      </w:r>
      <w:r w:rsidRPr="00551963">
        <w:rPr>
          <w:rFonts w:ascii="Arial" w:hAnsi="Arial" w:cs="Arial"/>
          <w:color w:val="000000"/>
          <w:sz w:val="22"/>
          <w:szCs w:val="22"/>
        </w:rPr>
        <w:t>unlocked €1</w:t>
      </w:r>
      <w:r w:rsidR="00551963">
        <w:rPr>
          <w:rFonts w:ascii="Arial" w:hAnsi="Arial" w:cs="Arial"/>
          <w:color w:val="000000"/>
          <w:sz w:val="22"/>
          <w:szCs w:val="22"/>
        </w:rPr>
        <w:t>bn</w:t>
      </w:r>
      <w:r w:rsidRPr="00551963">
        <w:rPr>
          <w:rFonts w:ascii="Arial" w:hAnsi="Arial" w:cs="Arial"/>
          <w:color w:val="000000"/>
          <w:sz w:val="22"/>
          <w:szCs w:val="22"/>
        </w:rPr>
        <w:t xml:space="preserve"> from the European Fund for Strategic Investments (EFSI) that will serve as a guarantee to the European Investment Fund (EIF), part of the European Investment Bank Group. This will allow the EIF to issue special guarantees to incentivise banks and other lenders to provide liquidity to at least 100,000 European SMEs and small mid-cap companies hit by the economic impact of the coronavirus pandemic, for an estimated a</w:t>
      </w:r>
      <w:r w:rsidR="00551963">
        <w:rPr>
          <w:rFonts w:ascii="Arial" w:hAnsi="Arial" w:cs="Arial"/>
          <w:color w:val="000000"/>
          <w:sz w:val="22"/>
          <w:szCs w:val="22"/>
        </w:rPr>
        <w:t>vailable financing of €8bn</w:t>
      </w:r>
      <w:r w:rsidRPr="00551963">
        <w:rPr>
          <w:rFonts w:ascii="Arial" w:hAnsi="Arial" w:cs="Arial"/>
          <w:color w:val="000000"/>
          <w:sz w:val="22"/>
          <w:szCs w:val="22"/>
        </w:rPr>
        <w:t xml:space="preserve">. </w:t>
      </w:r>
    </w:p>
    <w:p w14:paraId="30C4F89D" w14:textId="77777777" w:rsidR="00506A03" w:rsidRPr="00551963" w:rsidRDefault="00551963" w:rsidP="00506A03">
      <w:pPr>
        <w:pStyle w:val="NormalWeb"/>
        <w:rPr>
          <w:rFonts w:ascii="Arial" w:hAnsi="Arial" w:cs="Arial"/>
          <w:color w:val="000000"/>
          <w:sz w:val="22"/>
          <w:szCs w:val="22"/>
        </w:rPr>
      </w:pPr>
      <w:r>
        <w:rPr>
          <w:rFonts w:ascii="Arial" w:hAnsi="Arial" w:cs="Arial"/>
          <w:color w:val="000000"/>
          <w:sz w:val="22"/>
          <w:szCs w:val="22"/>
        </w:rPr>
        <w:t xml:space="preserve">The announcement </w:t>
      </w:r>
      <w:r w:rsidR="00252371">
        <w:rPr>
          <w:rFonts w:ascii="Arial" w:hAnsi="Arial" w:cs="Arial"/>
          <w:color w:val="000000"/>
          <w:sz w:val="22"/>
          <w:szCs w:val="22"/>
        </w:rPr>
        <w:t>fulfilled</w:t>
      </w:r>
      <w:r w:rsidR="00506A03" w:rsidRPr="00551963">
        <w:rPr>
          <w:rFonts w:ascii="Arial" w:hAnsi="Arial" w:cs="Arial"/>
          <w:color w:val="000000"/>
          <w:sz w:val="22"/>
          <w:szCs w:val="22"/>
        </w:rPr>
        <w:t xml:space="preserve"> the </w:t>
      </w:r>
      <w:r>
        <w:rPr>
          <w:rFonts w:ascii="Arial" w:hAnsi="Arial" w:cs="Arial"/>
          <w:color w:val="000000"/>
          <w:sz w:val="22"/>
          <w:szCs w:val="22"/>
        </w:rPr>
        <w:t xml:space="preserve">EC’s commitment of </w:t>
      </w:r>
      <w:r w:rsidR="00252371" w:rsidRPr="00551963">
        <w:rPr>
          <w:rFonts w:ascii="Arial" w:hAnsi="Arial" w:cs="Arial"/>
          <w:color w:val="000000"/>
          <w:sz w:val="22"/>
          <w:szCs w:val="22"/>
        </w:rPr>
        <w:t>13</w:t>
      </w:r>
      <w:r w:rsidR="00252371" w:rsidRPr="00551963">
        <w:rPr>
          <w:rFonts w:ascii="Arial" w:hAnsi="Arial" w:cs="Arial"/>
          <w:color w:val="000000"/>
          <w:sz w:val="22"/>
          <w:szCs w:val="22"/>
          <w:vertAlign w:val="superscript"/>
        </w:rPr>
        <w:t>th</w:t>
      </w:r>
      <w:r w:rsidR="00252371">
        <w:rPr>
          <w:rFonts w:ascii="Arial" w:hAnsi="Arial" w:cs="Arial"/>
          <w:color w:val="000000"/>
          <w:sz w:val="22"/>
          <w:szCs w:val="22"/>
        </w:rPr>
        <w:t xml:space="preserve"> </w:t>
      </w:r>
      <w:r w:rsidR="00252371" w:rsidRPr="00551963">
        <w:rPr>
          <w:rFonts w:ascii="Arial" w:hAnsi="Arial" w:cs="Arial"/>
          <w:color w:val="000000"/>
          <w:sz w:val="22"/>
          <w:szCs w:val="22"/>
        </w:rPr>
        <w:t>March</w:t>
      </w:r>
      <w:r w:rsidR="00506A03" w:rsidRPr="00551963">
        <w:rPr>
          <w:rFonts w:ascii="Arial" w:hAnsi="Arial" w:cs="Arial"/>
          <w:color w:val="000000"/>
          <w:sz w:val="22"/>
          <w:szCs w:val="22"/>
        </w:rPr>
        <w:t xml:space="preserve"> to bring immediate relief to hard-hit SMEs, with money able to flow already in April. It is part of the package of measures a</w:t>
      </w:r>
      <w:r>
        <w:rPr>
          <w:rFonts w:ascii="Arial" w:hAnsi="Arial" w:cs="Arial"/>
          <w:color w:val="000000"/>
          <w:sz w:val="22"/>
          <w:szCs w:val="22"/>
        </w:rPr>
        <w:t>nnounced by the EIB Group on 16</w:t>
      </w:r>
      <w:r w:rsidRPr="00551963">
        <w:rPr>
          <w:rFonts w:ascii="Arial" w:hAnsi="Arial" w:cs="Arial"/>
          <w:color w:val="000000"/>
          <w:sz w:val="22"/>
          <w:szCs w:val="22"/>
          <w:vertAlign w:val="superscript"/>
        </w:rPr>
        <w:t>th</w:t>
      </w:r>
      <w:r>
        <w:rPr>
          <w:rFonts w:ascii="Arial" w:hAnsi="Arial" w:cs="Arial"/>
          <w:color w:val="000000"/>
          <w:sz w:val="22"/>
          <w:szCs w:val="22"/>
        </w:rPr>
        <w:t xml:space="preserve"> </w:t>
      </w:r>
      <w:r w:rsidR="00506A03" w:rsidRPr="00551963">
        <w:rPr>
          <w:rFonts w:ascii="Arial" w:hAnsi="Arial" w:cs="Arial"/>
          <w:color w:val="000000"/>
          <w:sz w:val="22"/>
          <w:szCs w:val="22"/>
        </w:rPr>
        <w:t>March designed to rapidly mobilise support for Europe's SMEs and mid-caps.</w:t>
      </w:r>
    </w:p>
    <w:p w14:paraId="0F8267CB" w14:textId="77777777" w:rsidR="00506A03" w:rsidRPr="00506A03" w:rsidRDefault="00506A03" w:rsidP="00506A03">
      <w:p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color w:val="000000"/>
          <w:lang w:eastAsia="en-GB"/>
        </w:rPr>
        <w:t>One of the immediate economic consequences of the coronavirus pandemic is the sudden lack of liquidity affecting small and medium-sized businesses. These companies are typically the most affected in a crisis, and it is essential to support them with adequate liquidity so they can survive the crisis. However, in a situation of liquidity crunch banks are not incentivised to lend SMEs money due to the sudden increase in perceived risk. That is why EU guarantees supporting these loans are necessary.</w:t>
      </w:r>
      <w:r w:rsidR="00551963">
        <w:rPr>
          <w:rFonts w:ascii="Arial" w:eastAsia="Times New Roman" w:hAnsi="Arial" w:cs="Arial"/>
          <w:color w:val="000000"/>
          <w:lang w:eastAsia="en-GB"/>
        </w:rPr>
        <w:t xml:space="preserve"> The </w:t>
      </w:r>
      <w:r w:rsidRPr="00506A03">
        <w:rPr>
          <w:rFonts w:ascii="Arial" w:eastAsia="Times New Roman" w:hAnsi="Arial" w:cs="Arial"/>
          <w:color w:val="000000"/>
          <w:lang w:eastAsia="en-GB"/>
        </w:rPr>
        <w:t xml:space="preserve">EIF is </w:t>
      </w:r>
      <w:r w:rsidR="00551963">
        <w:rPr>
          <w:rFonts w:ascii="Arial" w:eastAsia="Times New Roman" w:hAnsi="Arial" w:cs="Arial"/>
          <w:color w:val="000000"/>
          <w:lang w:eastAsia="en-GB"/>
        </w:rPr>
        <w:t xml:space="preserve">thus </w:t>
      </w:r>
      <w:r w:rsidRPr="00506A03">
        <w:rPr>
          <w:rFonts w:ascii="Arial" w:eastAsia="Times New Roman" w:hAnsi="Arial" w:cs="Arial"/>
          <w:color w:val="000000"/>
          <w:lang w:eastAsia="en-GB"/>
        </w:rPr>
        <w:t>offering to the market dedicated EFSI-backed guarantees to contain the impact of the pandemic on small and medium sized enterprises and small mid-cap companies.</w:t>
      </w:r>
    </w:p>
    <w:p w14:paraId="18D49889" w14:textId="77777777" w:rsidR="00506A03" w:rsidRPr="00506A03" w:rsidRDefault="00551963" w:rsidP="00506A0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The €1bn</w:t>
      </w:r>
      <w:r w:rsidR="00506A03" w:rsidRPr="00506A03">
        <w:rPr>
          <w:rFonts w:ascii="Arial" w:eastAsia="Times New Roman" w:hAnsi="Arial" w:cs="Arial"/>
          <w:color w:val="000000"/>
          <w:lang w:eastAsia="en-GB"/>
        </w:rPr>
        <w:t xml:space="preserve"> unlocked from the EFSI under the COSME Loan Guarantee Facility and the </w:t>
      </w:r>
      <w:proofErr w:type="spellStart"/>
      <w:r w:rsidR="00506A03" w:rsidRPr="00506A03">
        <w:rPr>
          <w:rFonts w:ascii="Arial" w:eastAsia="Times New Roman" w:hAnsi="Arial" w:cs="Arial"/>
          <w:color w:val="000000"/>
          <w:lang w:eastAsia="en-GB"/>
        </w:rPr>
        <w:t>InnovFin</w:t>
      </w:r>
      <w:proofErr w:type="spellEnd"/>
      <w:r w:rsidR="00506A03" w:rsidRPr="00506A03">
        <w:rPr>
          <w:rFonts w:ascii="Arial" w:eastAsia="Times New Roman" w:hAnsi="Arial" w:cs="Arial"/>
          <w:color w:val="000000"/>
          <w:lang w:eastAsia="en-GB"/>
        </w:rPr>
        <w:t xml:space="preserve"> SME Guarantee under Horizon 2020 allows the EIF to provi</w:t>
      </w:r>
      <w:r>
        <w:rPr>
          <w:rFonts w:ascii="Arial" w:eastAsia="Times New Roman" w:hAnsi="Arial" w:cs="Arial"/>
          <w:color w:val="000000"/>
          <w:lang w:eastAsia="en-GB"/>
        </w:rPr>
        <w:t>de guarantees worth €2.2bn</w:t>
      </w:r>
      <w:r w:rsidR="00506A03" w:rsidRPr="00506A03">
        <w:rPr>
          <w:rFonts w:ascii="Arial" w:eastAsia="Times New Roman" w:hAnsi="Arial" w:cs="Arial"/>
          <w:color w:val="000000"/>
          <w:lang w:eastAsia="en-GB"/>
        </w:rPr>
        <w:t xml:space="preserve"> to financial inte</w:t>
      </w:r>
      <w:r>
        <w:rPr>
          <w:rFonts w:ascii="Arial" w:eastAsia="Times New Roman" w:hAnsi="Arial" w:cs="Arial"/>
          <w:color w:val="000000"/>
          <w:lang w:eastAsia="en-GB"/>
        </w:rPr>
        <w:t>rmediaries, unlocking €8bn</w:t>
      </w:r>
      <w:r w:rsidR="00506A03" w:rsidRPr="00506A03">
        <w:rPr>
          <w:rFonts w:ascii="Arial" w:eastAsia="Times New Roman" w:hAnsi="Arial" w:cs="Arial"/>
          <w:color w:val="000000"/>
          <w:lang w:eastAsia="en-GB"/>
        </w:rPr>
        <w:t xml:space="preserve"> in available financing. The guarantees will be offered through the EIF to the market, via a c</w:t>
      </w:r>
      <w:r>
        <w:rPr>
          <w:rFonts w:ascii="Arial" w:eastAsia="Times New Roman" w:hAnsi="Arial" w:cs="Arial"/>
          <w:color w:val="000000"/>
          <w:lang w:eastAsia="en-GB"/>
        </w:rPr>
        <w:t>all for expressions of interest</w:t>
      </w:r>
      <w:r w:rsidR="00506A03" w:rsidRPr="00506A03">
        <w:rPr>
          <w:rFonts w:ascii="Arial" w:eastAsia="Times New Roman" w:hAnsi="Arial" w:cs="Arial"/>
          <w:color w:val="000000"/>
          <w:lang w:eastAsia="en-GB"/>
        </w:rPr>
        <w:t xml:space="preserve"> to several hundred financial intermediaries, comprising banks and alternative lenders. Key features of these guarantees will be:</w:t>
      </w:r>
    </w:p>
    <w:p w14:paraId="2EEC85AE" w14:textId="77777777" w:rsidR="00506A03" w:rsidRPr="00506A03" w:rsidRDefault="00506A03" w:rsidP="00506A03">
      <w:pPr>
        <w:numPr>
          <w:ilvl w:val="0"/>
          <w:numId w:val="2"/>
        </w:num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color w:val="000000"/>
          <w:lang w:eastAsia="en-GB"/>
        </w:rPr>
        <w:t>Simplified and quicker access to the EIF guarantee</w:t>
      </w:r>
    </w:p>
    <w:p w14:paraId="42D129BF" w14:textId="77777777" w:rsidR="00506A03" w:rsidRPr="00506A03" w:rsidRDefault="00506A03" w:rsidP="00506A03">
      <w:pPr>
        <w:numPr>
          <w:ilvl w:val="0"/>
          <w:numId w:val="2"/>
        </w:num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color w:val="000000"/>
          <w:lang w:eastAsia="en-GB"/>
        </w:rPr>
        <w:lastRenderedPageBreak/>
        <w:t>A higher risk cover – up to 80% of potential losses on individual loans (as opposed to the standard 50%);</w:t>
      </w:r>
    </w:p>
    <w:p w14:paraId="6D3B4D70" w14:textId="77777777" w:rsidR="00506A03" w:rsidRPr="00506A03" w:rsidRDefault="00506A03" w:rsidP="00506A03">
      <w:pPr>
        <w:numPr>
          <w:ilvl w:val="0"/>
          <w:numId w:val="2"/>
        </w:num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color w:val="000000"/>
          <w:lang w:eastAsia="en-GB"/>
        </w:rPr>
        <w:t>Focus on working capital loans across the EU;</w:t>
      </w:r>
    </w:p>
    <w:p w14:paraId="1716C5B7" w14:textId="77777777" w:rsidR="00506A03" w:rsidRPr="00506A03" w:rsidRDefault="00506A03" w:rsidP="00506A03">
      <w:pPr>
        <w:numPr>
          <w:ilvl w:val="0"/>
          <w:numId w:val="2"/>
        </w:num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color w:val="000000"/>
          <w:lang w:eastAsia="en-GB"/>
        </w:rPr>
        <w:t>Allowing fo</w:t>
      </w:r>
      <w:r w:rsidR="00CC4ABD">
        <w:rPr>
          <w:rFonts w:ascii="Arial" w:eastAsia="Times New Roman" w:hAnsi="Arial" w:cs="Arial"/>
          <w:color w:val="000000"/>
          <w:lang w:eastAsia="en-GB"/>
        </w:rPr>
        <w:t xml:space="preserve">r more flexible terms, </w:t>
      </w:r>
      <w:r w:rsidR="00512E52">
        <w:rPr>
          <w:rFonts w:ascii="Arial" w:eastAsia="Times New Roman" w:hAnsi="Arial" w:cs="Arial"/>
          <w:color w:val="000000"/>
          <w:lang w:eastAsia="en-GB"/>
        </w:rPr>
        <w:t>i.e.</w:t>
      </w:r>
      <w:r w:rsidR="00CC4ABD">
        <w:rPr>
          <w:rFonts w:ascii="Arial" w:eastAsia="Times New Roman" w:hAnsi="Arial" w:cs="Arial"/>
          <w:color w:val="000000"/>
          <w:lang w:eastAsia="en-GB"/>
        </w:rPr>
        <w:t>,</w:t>
      </w:r>
      <w:r w:rsidRPr="00506A03">
        <w:rPr>
          <w:rFonts w:ascii="Arial" w:eastAsia="Times New Roman" w:hAnsi="Arial" w:cs="Arial"/>
          <w:color w:val="000000"/>
          <w:lang w:eastAsia="en-GB"/>
        </w:rPr>
        <w:t xml:space="preserve"> postponement, rescheduling or payment holidays</w:t>
      </w:r>
    </w:p>
    <w:p w14:paraId="5FABB30D" w14:textId="77777777" w:rsidR="00506A03" w:rsidRPr="00506A03" w:rsidRDefault="00506A03" w:rsidP="00506A03">
      <w:p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color w:val="000000"/>
          <w:lang w:eastAsia="en-GB"/>
        </w:rPr>
        <w:t>The new features will</w:t>
      </w:r>
      <w:r w:rsidR="00512E52">
        <w:rPr>
          <w:rFonts w:ascii="Arial" w:eastAsia="Times New Roman" w:hAnsi="Arial" w:cs="Arial"/>
          <w:color w:val="000000"/>
          <w:lang w:eastAsia="en-GB"/>
        </w:rPr>
        <w:t xml:space="preserve"> be accessible to new, and</w:t>
      </w:r>
      <w:r w:rsidRPr="00506A03">
        <w:rPr>
          <w:rFonts w:ascii="Arial" w:eastAsia="Times New Roman" w:hAnsi="Arial" w:cs="Arial"/>
          <w:color w:val="000000"/>
          <w:lang w:eastAsia="en-GB"/>
        </w:rPr>
        <w:t xml:space="preserve"> existing</w:t>
      </w:r>
      <w:r w:rsidR="00512E52">
        <w:rPr>
          <w:rFonts w:ascii="Arial" w:eastAsia="Times New Roman" w:hAnsi="Arial" w:cs="Arial"/>
          <w:color w:val="000000"/>
          <w:lang w:eastAsia="en-GB"/>
        </w:rPr>
        <w:t>,</w:t>
      </w:r>
      <w:r w:rsidRPr="00506A03">
        <w:rPr>
          <w:rFonts w:ascii="Arial" w:eastAsia="Times New Roman" w:hAnsi="Arial" w:cs="Arial"/>
          <w:color w:val="000000"/>
          <w:lang w:eastAsia="en-GB"/>
        </w:rPr>
        <w:t xml:space="preserve"> financial intermediaries already working with EIF, extend</w:t>
      </w:r>
      <w:r w:rsidR="00512E52">
        <w:rPr>
          <w:rFonts w:ascii="Arial" w:eastAsia="Times New Roman" w:hAnsi="Arial" w:cs="Arial"/>
          <w:color w:val="000000"/>
          <w:lang w:eastAsia="en-GB"/>
        </w:rPr>
        <w:t>ing</w:t>
      </w:r>
      <w:r w:rsidRPr="00506A03">
        <w:rPr>
          <w:rFonts w:ascii="Arial" w:eastAsia="Times New Roman" w:hAnsi="Arial" w:cs="Arial"/>
          <w:color w:val="000000"/>
          <w:lang w:eastAsia="en-GB"/>
        </w:rPr>
        <w:t xml:space="preserve"> special conditions to more than a </w:t>
      </w:r>
      <w:r w:rsidR="00512E52">
        <w:rPr>
          <w:rFonts w:ascii="Arial" w:eastAsia="Times New Roman" w:hAnsi="Arial" w:cs="Arial"/>
          <w:color w:val="000000"/>
          <w:lang w:eastAsia="en-GB"/>
        </w:rPr>
        <w:t xml:space="preserve">100,000 </w:t>
      </w:r>
      <w:r w:rsidRPr="00506A03">
        <w:rPr>
          <w:rFonts w:ascii="Arial" w:eastAsia="Times New Roman" w:hAnsi="Arial" w:cs="Arial"/>
          <w:color w:val="000000"/>
          <w:lang w:eastAsia="en-GB"/>
        </w:rPr>
        <w:t xml:space="preserve">companies benefitting from guarantees under the COSME LGF and the </w:t>
      </w:r>
      <w:proofErr w:type="spellStart"/>
      <w:r w:rsidRPr="00506A03">
        <w:rPr>
          <w:rFonts w:ascii="Arial" w:eastAsia="Times New Roman" w:hAnsi="Arial" w:cs="Arial"/>
          <w:color w:val="000000"/>
          <w:lang w:eastAsia="en-GB"/>
        </w:rPr>
        <w:t>InnovFin</w:t>
      </w:r>
      <w:proofErr w:type="spellEnd"/>
      <w:r w:rsidRPr="00506A03">
        <w:rPr>
          <w:rFonts w:ascii="Arial" w:eastAsia="Times New Roman" w:hAnsi="Arial" w:cs="Arial"/>
          <w:color w:val="000000"/>
          <w:lang w:eastAsia="en-GB"/>
        </w:rPr>
        <w:t xml:space="preserve"> SMEG programmes.</w:t>
      </w:r>
    </w:p>
    <w:p w14:paraId="5900F50E" w14:textId="77777777" w:rsidR="00506A03" w:rsidRPr="00506A03" w:rsidRDefault="00506A03" w:rsidP="00506A03">
      <w:p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b/>
          <w:bCs/>
          <w:color w:val="000000"/>
          <w:lang w:eastAsia="en-GB"/>
        </w:rPr>
        <w:t>Background</w:t>
      </w:r>
    </w:p>
    <w:p w14:paraId="14C5F32E" w14:textId="77777777" w:rsidR="00506A03" w:rsidRPr="00506A03" w:rsidRDefault="00551963" w:rsidP="00506A03">
      <w:pPr>
        <w:spacing w:before="100" w:beforeAutospacing="1" w:after="100" w:afterAutospacing="1" w:line="240" w:lineRule="auto"/>
        <w:rPr>
          <w:rFonts w:ascii="Arial" w:eastAsia="Times New Roman" w:hAnsi="Arial" w:cs="Arial"/>
          <w:color w:val="000000"/>
          <w:lang w:eastAsia="en-GB"/>
        </w:rPr>
      </w:pPr>
      <w:r>
        <w:rPr>
          <w:rFonts w:ascii="Arial" w:eastAsia="Times New Roman" w:hAnsi="Arial" w:cs="Arial"/>
          <w:color w:val="000000"/>
          <w:lang w:eastAsia="en-GB"/>
        </w:rPr>
        <w:t>To unlock the €1b</w:t>
      </w:r>
      <w:r w:rsidR="00506A03" w:rsidRPr="00506A03">
        <w:rPr>
          <w:rFonts w:ascii="Arial" w:eastAsia="Times New Roman" w:hAnsi="Arial" w:cs="Arial"/>
          <w:color w:val="000000"/>
          <w:lang w:eastAsia="en-GB"/>
        </w:rPr>
        <w:t>n from the EU budget, the Commission and the EIB Group have made a series of amendments to their specific agreements.</w:t>
      </w:r>
    </w:p>
    <w:p w14:paraId="090EDE11" w14:textId="77777777" w:rsidR="00506A03" w:rsidRPr="00506A03" w:rsidRDefault="00506A03" w:rsidP="00506A03">
      <w:p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lang w:eastAsia="en-GB"/>
        </w:rPr>
        <w:t xml:space="preserve">The </w:t>
      </w:r>
      <w:hyperlink r:id="rId11" w:history="1">
        <w:r w:rsidRPr="00506A03">
          <w:rPr>
            <w:rFonts w:ascii="Arial" w:eastAsia="Times New Roman" w:hAnsi="Arial" w:cs="Arial"/>
            <w:b/>
            <w:bCs/>
            <w:lang w:eastAsia="en-GB"/>
          </w:rPr>
          <w:t>European Investment Fund</w:t>
        </w:r>
      </w:hyperlink>
      <w:r w:rsidRPr="00506A03">
        <w:rPr>
          <w:rFonts w:ascii="Arial" w:eastAsia="Times New Roman" w:hAnsi="Arial" w:cs="Arial"/>
          <w:lang w:eastAsia="en-GB"/>
        </w:rPr>
        <w:t xml:space="preserve"> (EIF) is part of the European Investment Bank group. Its central mission is to support Europe's </w:t>
      </w:r>
      <w:r w:rsidRPr="00506A03">
        <w:rPr>
          <w:rFonts w:ascii="Arial" w:eastAsia="Times New Roman" w:hAnsi="Arial" w:cs="Arial"/>
          <w:color w:val="000000"/>
          <w:lang w:eastAsia="en-GB"/>
        </w:rPr>
        <w:t>micro, small and medium-sized businesses by helping them to access finance. EIF designs and develops both venture and growth capital, guarantees and microfinance instruments which specifically target this market segment. In this role, EIF fosters EU objectives in support of innovation, research and development, entrepreneurship, growth and employment.</w:t>
      </w:r>
    </w:p>
    <w:p w14:paraId="1A69E80D" w14:textId="77777777" w:rsidR="00506A03" w:rsidRPr="00506A03" w:rsidRDefault="00506A03" w:rsidP="00506A03">
      <w:p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b/>
          <w:bCs/>
          <w:color w:val="000000"/>
          <w:lang w:eastAsia="en-GB"/>
        </w:rPr>
        <w:t>COSME</w:t>
      </w:r>
      <w:r w:rsidRPr="00506A03">
        <w:rPr>
          <w:rFonts w:ascii="Arial" w:eastAsia="Times New Roman" w:hAnsi="Arial" w:cs="Arial"/>
          <w:color w:val="000000"/>
          <w:lang w:eastAsia="en-GB"/>
        </w:rPr>
        <w:t xml:space="preserve"> is the EU programme for the Competitiveness of Enterprises and Small and Medium-sized Enterprises (SMEs) running from 2014 to 2020 with a total budget of €2.3 billion. At least 60% of the programme is devoted to improving access to finance for SMEs in Europe, with two financial instruments. The </w:t>
      </w:r>
      <w:hyperlink r:id="rId12" w:history="1">
        <w:r w:rsidRPr="00506A03">
          <w:rPr>
            <w:rFonts w:ascii="Arial" w:eastAsia="Times New Roman" w:hAnsi="Arial" w:cs="Arial"/>
            <w:lang w:eastAsia="en-GB"/>
          </w:rPr>
          <w:t>COSME Loan Guarantee Facility</w:t>
        </w:r>
      </w:hyperlink>
      <w:r w:rsidRPr="00506A03">
        <w:rPr>
          <w:rFonts w:ascii="Arial" w:eastAsia="Times New Roman" w:hAnsi="Arial" w:cs="Arial"/>
          <w:lang w:eastAsia="en-GB"/>
        </w:rPr>
        <w:t xml:space="preserve"> </w:t>
      </w:r>
      <w:r w:rsidRPr="00506A03">
        <w:rPr>
          <w:rFonts w:ascii="Arial" w:eastAsia="Times New Roman" w:hAnsi="Arial" w:cs="Arial"/>
          <w:u w:val="single"/>
          <w:lang w:eastAsia="en-GB"/>
        </w:rPr>
        <w:t>s</w:t>
      </w:r>
      <w:r w:rsidRPr="00506A03">
        <w:rPr>
          <w:rFonts w:ascii="Arial" w:eastAsia="Times New Roman" w:hAnsi="Arial" w:cs="Arial"/>
          <w:color w:val="000000"/>
          <w:lang w:eastAsia="en-GB"/>
        </w:rPr>
        <w:t>upports guarantees and counter-guarantees to financial institutions to help them provide more loans and lease finance to SMEs. COSME Equity Facility for Growth helps provide risk capital to SMEs mainly in the expansion and growth stages.</w:t>
      </w:r>
    </w:p>
    <w:p w14:paraId="6BF80533" w14:textId="77777777" w:rsidR="006D2549" w:rsidRDefault="00506A03" w:rsidP="00506A03">
      <w:p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b/>
          <w:bCs/>
          <w:color w:val="000000"/>
          <w:lang w:eastAsia="en-GB"/>
        </w:rPr>
        <w:t xml:space="preserve">Horizon </w:t>
      </w:r>
      <w:r w:rsidR="00252371" w:rsidRPr="00506A03">
        <w:rPr>
          <w:rFonts w:ascii="Arial" w:eastAsia="Times New Roman" w:hAnsi="Arial" w:cs="Arial"/>
          <w:b/>
          <w:bCs/>
          <w:color w:val="000000"/>
          <w:lang w:eastAsia="en-GB"/>
        </w:rPr>
        <w:t xml:space="preserve">2020 </w:t>
      </w:r>
      <w:r w:rsidR="00252371" w:rsidRPr="00506A03">
        <w:rPr>
          <w:rFonts w:ascii="Arial" w:eastAsia="Times New Roman" w:hAnsi="Arial" w:cs="Arial"/>
          <w:color w:val="000000"/>
          <w:lang w:eastAsia="en-GB"/>
        </w:rPr>
        <w:t>is</w:t>
      </w:r>
      <w:r w:rsidRPr="00506A03">
        <w:rPr>
          <w:rFonts w:ascii="Arial" w:eastAsia="Times New Roman" w:hAnsi="Arial" w:cs="Arial"/>
          <w:color w:val="000000"/>
          <w:lang w:eastAsia="en-GB"/>
        </w:rPr>
        <w:t xml:space="preserve"> the EU programme for Research and Innovation running from 2014 to 2020 with a total budget of €77 billion. Under Horizon 2020, </w:t>
      </w:r>
      <w:proofErr w:type="spellStart"/>
      <w:r w:rsidRPr="00506A03">
        <w:rPr>
          <w:rFonts w:ascii="Arial" w:eastAsia="Times New Roman" w:hAnsi="Arial" w:cs="Arial"/>
          <w:color w:val="000000"/>
          <w:lang w:eastAsia="en-GB"/>
        </w:rPr>
        <w:t>InnovFin</w:t>
      </w:r>
      <w:proofErr w:type="spellEnd"/>
      <w:r w:rsidRPr="00506A03">
        <w:rPr>
          <w:rFonts w:ascii="Arial" w:eastAsia="Times New Roman" w:hAnsi="Arial" w:cs="Arial"/>
          <w:color w:val="000000"/>
          <w:lang w:eastAsia="en-GB"/>
        </w:rPr>
        <w:t xml:space="preserve"> – the EU Finance for Innovators – financial instruments aim to facilitate and accelerate access to finance for innovative businesses across Europe. In particular, the </w:t>
      </w:r>
      <w:hyperlink r:id="rId13" w:history="1">
        <w:proofErr w:type="spellStart"/>
        <w:r w:rsidRPr="00506A03">
          <w:rPr>
            <w:rFonts w:ascii="Arial" w:eastAsia="Times New Roman" w:hAnsi="Arial" w:cs="Arial"/>
            <w:lang w:eastAsia="en-GB"/>
          </w:rPr>
          <w:t>InnovFin</w:t>
        </w:r>
        <w:proofErr w:type="spellEnd"/>
        <w:r w:rsidRPr="00506A03">
          <w:rPr>
            <w:rFonts w:ascii="Arial" w:eastAsia="Times New Roman" w:hAnsi="Arial" w:cs="Arial"/>
            <w:lang w:eastAsia="en-GB"/>
          </w:rPr>
          <w:t xml:space="preserve"> SME Guarantee (SMEG) Facility</w:t>
        </w:r>
      </w:hyperlink>
      <w:r w:rsidRPr="00506A03">
        <w:rPr>
          <w:rFonts w:ascii="Arial" w:eastAsia="Times New Roman" w:hAnsi="Arial" w:cs="Arial"/>
          <w:color w:val="000000"/>
          <w:lang w:eastAsia="en-GB"/>
        </w:rPr>
        <w:t xml:space="preserve"> provides guarantees and counter-guarantees on debt financing of </w:t>
      </w:r>
      <w:r w:rsidR="00252371">
        <w:rPr>
          <w:rFonts w:ascii="Arial" w:eastAsia="Times New Roman" w:hAnsi="Arial" w:cs="Arial"/>
          <w:color w:val="000000"/>
          <w:lang w:eastAsia="en-GB"/>
        </w:rPr>
        <w:t>between €25,000 and €7.5m</w:t>
      </w:r>
      <w:r w:rsidRPr="00506A03">
        <w:rPr>
          <w:rFonts w:ascii="Arial" w:eastAsia="Times New Roman" w:hAnsi="Arial" w:cs="Arial"/>
          <w:color w:val="000000"/>
          <w:lang w:eastAsia="en-GB"/>
        </w:rPr>
        <w:t xml:space="preserve"> to improve access to finance for innovative SMEs and Midcaps. </w:t>
      </w:r>
    </w:p>
    <w:p w14:paraId="24EC6480" w14:textId="77777777" w:rsidR="006D2549" w:rsidRDefault="00506A03" w:rsidP="006D2549">
      <w:pPr>
        <w:spacing w:before="100" w:beforeAutospacing="1" w:after="100" w:afterAutospacing="1" w:line="240" w:lineRule="auto"/>
        <w:rPr>
          <w:rFonts w:ascii="Arial" w:eastAsia="Times New Roman" w:hAnsi="Arial" w:cs="Arial"/>
          <w:color w:val="000000"/>
          <w:lang w:eastAsia="en-GB"/>
        </w:rPr>
      </w:pPr>
      <w:r w:rsidRPr="00506A03">
        <w:rPr>
          <w:rFonts w:ascii="Arial" w:eastAsia="Times New Roman" w:hAnsi="Arial" w:cs="Arial"/>
          <w:color w:val="000000"/>
          <w:lang w:eastAsia="en-GB"/>
        </w:rPr>
        <w:t xml:space="preserve">The </w:t>
      </w:r>
      <w:r w:rsidRPr="00506A03">
        <w:rPr>
          <w:rFonts w:ascii="Arial" w:eastAsia="Times New Roman" w:hAnsi="Arial" w:cs="Arial"/>
          <w:b/>
          <w:bCs/>
          <w:color w:val="000000"/>
          <w:lang w:eastAsia="en-GB"/>
        </w:rPr>
        <w:t>European Fund for Strategic Investments</w:t>
      </w:r>
      <w:r w:rsidRPr="00506A03">
        <w:rPr>
          <w:rFonts w:ascii="Arial" w:eastAsia="Times New Roman" w:hAnsi="Arial" w:cs="Arial"/>
          <w:color w:val="000000"/>
          <w:lang w:eastAsia="en-GB"/>
        </w:rPr>
        <w:t xml:space="preserve"> (EFSI) is the financing pillar of the Investment Plan for Europe, which was launched in November 2014 to reverse the downward trend in investment levels and put Europe on the path to economic recovery. Its innovative approach based on the use of an EU budget guarantee provided to the EIB Group enables substantial public and private sector funds to be mobilised for investment into strategic sectors of the European economy. The Investment Plan for Europe has already </w:t>
      </w:r>
      <w:r w:rsidR="00512E52">
        <w:rPr>
          <w:rFonts w:ascii="Arial" w:eastAsia="Times New Roman" w:hAnsi="Arial" w:cs="Arial"/>
          <w:color w:val="000000"/>
          <w:lang w:eastAsia="en-GB"/>
        </w:rPr>
        <w:t>generated more than €460bn</w:t>
      </w:r>
      <w:r w:rsidRPr="00506A03">
        <w:rPr>
          <w:rFonts w:ascii="Arial" w:eastAsia="Times New Roman" w:hAnsi="Arial" w:cs="Arial"/>
          <w:color w:val="000000"/>
          <w:lang w:eastAsia="en-GB"/>
        </w:rPr>
        <w:t xml:space="preserve"> of investment and supported 1.1 million start-ups and SMEs across Europe. </w:t>
      </w:r>
    </w:p>
    <w:p w14:paraId="1BD8366E" w14:textId="77777777" w:rsidR="006F53EA" w:rsidRPr="006F53EA" w:rsidRDefault="006F53EA" w:rsidP="006F53EA">
      <w:pPr>
        <w:framePr w:hSpace="180" w:wrap="around" w:vAnchor="text" w:hAnchor="text" w:y="1"/>
        <w:spacing w:after="0" w:line="240" w:lineRule="auto"/>
        <w:rPr>
          <w:rFonts w:ascii="Times New Roman" w:eastAsia="Times New Roman" w:hAnsi="Times New Roman" w:cs="Times New Roman"/>
          <w:lang w:eastAsia="en-GB"/>
        </w:rPr>
      </w:pPr>
      <w:r w:rsidRPr="006F53EA">
        <w:rPr>
          <w:rFonts w:ascii="Arial" w:eastAsia="Times New Roman" w:hAnsi="Arial" w:cs="Arial"/>
          <w:b/>
          <w:bCs/>
          <w:lang w:eastAsia="en-GB"/>
        </w:rPr>
        <w:lastRenderedPageBreak/>
        <w:t>USA: measures to support SMEs</w:t>
      </w:r>
    </w:p>
    <w:p w14:paraId="50ACC8B7" w14:textId="77777777" w:rsidR="006F53EA" w:rsidRPr="006F53EA" w:rsidRDefault="006F53EA" w:rsidP="006F53EA">
      <w:pPr>
        <w:framePr w:hSpace="180" w:wrap="around" w:vAnchor="text" w:hAnchor="text" w:y="1"/>
        <w:spacing w:after="0" w:line="240" w:lineRule="auto"/>
        <w:rPr>
          <w:rFonts w:ascii="Times New Roman" w:eastAsia="Times New Roman" w:hAnsi="Times New Roman" w:cs="Times New Roman"/>
          <w:lang w:eastAsia="en-GB"/>
        </w:rPr>
      </w:pPr>
      <w:r w:rsidRPr="006F53EA">
        <w:rPr>
          <w:rFonts w:ascii="Arial" w:eastAsia="Times New Roman" w:hAnsi="Arial" w:cs="Arial"/>
          <w:lang w:eastAsia="en-GB"/>
        </w:rPr>
        <w:t> </w:t>
      </w:r>
    </w:p>
    <w:p w14:paraId="0F9CFB83" w14:textId="77777777" w:rsidR="006F53EA" w:rsidRPr="006F53EA" w:rsidRDefault="006F53EA" w:rsidP="006F53EA">
      <w:pPr>
        <w:framePr w:hSpace="180" w:wrap="around" w:vAnchor="text" w:hAnchor="text" w:y="1"/>
        <w:spacing w:after="0" w:line="240" w:lineRule="auto"/>
        <w:rPr>
          <w:rFonts w:ascii="Times New Roman" w:eastAsia="Times New Roman" w:hAnsi="Times New Roman" w:cs="Times New Roman"/>
          <w:lang w:eastAsia="en-GB"/>
        </w:rPr>
      </w:pPr>
      <w:r w:rsidRPr="006F53EA">
        <w:rPr>
          <w:rFonts w:ascii="Arial" w:eastAsia="Times New Roman" w:hAnsi="Arial" w:cs="Arial"/>
          <w:lang w:eastAsia="en-GB"/>
        </w:rPr>
        <w:t>In early April, the US Treasury introduced a $350bn fund to extend loans to SMEs, which was part of a $2.2tn economic relief package sighed into US law in March 2020.</w:t>
      </w:r>
    </w:p>
    <w:p w14:paraId="14697AB4" w14:textId="77777777" w:rsidR="006F53EA" w:rsidRPr="006F53EA" w:rsidRDefault="006F53EA" w:rsidP="006F53EA">
      <w:pPr>
        <w:framePr w:hSpace="180" w:wrap="around" w:vAnchor="text" w:hAnchor="text" w:y="1"/>
        <w:spacing w:after="0" w:line="240" w:lineRule="auto"/>
        <w:rPr>
          <w:rFonts w:ascii="Times New Roman" w:eastAsia="Times New Roman" w:hAnsi="Times New Roman" w:cs="Times New Roman"/>
          <w:lang w:eastAsia="en-GB"/>
        </w:rPr>
      </w:pPr>
      <w:r w:rsidRPr="006F53EA">
        <w:rPr>
          <w:rFonts w:ascii="Arial" w:eastAsia="Times New Roman" w:hAnsi="Arial" w:cs="Arial"/>
          <w:lang w:eastAsia="en-GB"/>
        </w:rPr>
        <w:t> </w:t>
      </w:r>
    </w:p>
    <w:p w14:paraId="2D950204" w14:textId="77777777" w:rsidR="006F53EA" w:rsidRPr="006F53EA" w:rsidRDefault="006F53EA" w:rsidP="006F53EA">
      <w:pPr>
        <w:framePr w:hSpace="180" w:wrap="around" w:vAnchor="text" w:hAnchor="text" w:y="1"/>
        <w:spacing w:after="0" w:line="240" w:lineRule="auto"/>
        <w:rPr>
          <w:rFonts w:ascii="Times New Roman" w:eastAsia="Times New Roman" w:hAnsi="Times New Roman" w:cs="Times New Roman"/>
          <w:lang w:eastAsia="en-GB"/>
        </w:rPr>
      </w:pPr>
      <w:r w:rsidRPr="006F53EA">
        <w:rPr>
          <w:rFonts w:ascii="Arial" w:eastAsia="Times New Roman" w:hAnsi="Arial" w:cs="Arial"/>
          <w:lang w:eastAsia="en-GB"/>
        </w:rPr>
        <w:t>The fun</w:t>
      </w:r>
      <w:r w:rsidR="0045425C">
        <w:rPr>
          <w:rFonts w:ascii="Arial" w:eastAsia="Times New Roman" w:hAnsi="Arial" w:cs="Arial"/>
          <w:lang w:eastAsia="en-GB"/>
        </w:rPr>
        <w:t>d allows SMEs to receive loans </w:t>
      </w:r>
      <w:r w:rsidRPr="006F53EA">
        <w:rPr>
          <w:rFonts w:ascii="Arial" w:eastAsia="Times New Roman" w:hAnsi="Arial" w:cs="Arial"/>
          <w:lang w:eastAsia="en-GB"/>
        </w:rPr>
        <w:t>backed by the Small Business Admin</w:t>
      </w:r>
      <w:r w:rsidR="0045425C">
        <w:rPr>
          <w:rFonts w:ascii="Arial" w:eastAsia="Times New Roman" w:hAnsi="Arial" w:cs="Arial"/>
          <w:lang w:eastAsia="en-GB"/>
        </w:rPr>
        <w:t>istration and can keep the money</w:t>
      </w:r>
      <w:r w:rsidRPr="006F53EA">
        <w:rPr>
          <w:rFonts w:ascii="Arial" w:eastAsia="Times New Roman" w:hAnsi="Arial" w:cs="Arial"/>
          <w:lang w:eastAsia="en-GB"/>
        </w:rPr>
        <w:t xml:space="preserve"> if they retain most of their staff.</w:t>
      </w:r>
    </w:p>
    <w:p w14:paraId="487B16E3" w14:textId="77777777" w:rsidR="006F53EA" w:rsidRPr="006F53EA" w:rsidRDefault="006F53EA" w:rsidP="006F53EA">
      <w:pPr>
        <w:framePr w:hSpace="180" w:wrap="around" w:vAnchor="text" w:hAnchor="text" w:y="1"/>
        <w:spacing w:after="0" w:line="240" w:lineRule="auto"/>
        <w:rPr>
          <w:rFonts w:ascii="Times New Roman" w:eastAsia="Times New Roman" w:hAnsi="Times New Roman" w:cs="Times New Roman"/>
          <w:lang w:eastAsia="en-GB"/>
        </w:rPr>
      </w:pPr>
      <w:r w:rsidRPr="006F53EA">
        <w:rPr>
          <w:rFonts w:ascii="Arial" w:eastAsia="Times New Roman" w:hAnsi="Arial" w:cs="Arial"/>
          <w:lang w:eastAsia="en-GB"/>
        </w:rPr>
        <w:t> </w:t>
      </w:r>
    </w:p>
    <w:p w14:paraId="3529EE96" w14:textId="77777777" w:rsidR="006F53EA" w:rsidRDefault="006F53EA" w:rsidP="006F53EA">
      <w:pPr>
        <w:framePr w:hSpace="180" w:wrap="around" w:vAnchor="text" w:hAnchor="text" w:y="1"/>
        <w:spacing w:after="0" w:line="240" w:lineRule="auto"/>
        <w:rPr>
          <w:rFonts w:ascii="Arial" w:eastAsia="Times New Roman" w:hAnsi="Arial" w:cs="Arial"/>
          <w:lang w:eastAsia="en-GB"/>
        </w:rPr>
      </w:pPr>
      <w:r w:rsidRPr="006F53EA">
        <w:rPr>
          <w:rFonts w:ascii="Arial" w:eastAsia="Times New Roman" w:hAnsi="Arial" w:cs="Arial"/>
          <w:lang w:eastAsia="en-GB"/>
        </w:rPr>
        <w:t>In due course, the fund will be extended to independent contractors and sole traders who will be eligible to apply for funding.</w:t>
      </w:r>
    </w:p>
    <w:p w14:paraId="24B2CE74" w14:textId="77777777" w:rsidR="00512E52" w:rsidRPr="006F53EA" w:rsidRDefault="00512E52" w:rsidP="006F53EA">
      <w:pPr>
        <w:framePr w:hSpace="180" w:wrap="around" w:vAnchor="text" w:hAnchor="text" w:y="1"/>
        <w:spacing w:after="0" w:line="240" w:lineRule="auto"/>
        <w:rPr>
          <w:rFonts w:ascii="Times New Roman" w:eastAsia="Times New Roman" w:hAnsi="Times New Roman" w:cs="Times New Roman"/>
          <w:lang w:eastAsia="en-GB"/>
        </w:rPr>
      </w:pPr>
    </w:p>
    <w:p w14:paraId="7AA7096F" w14:textId="77777777" w:rsidR="006F53EA" w:rsidRPr="006F53EA" w:rsidRDefault="006F53EA" w:rsidP="006F53EA">
      <w:pPr>
        <w:spacing w:after="0" w:line="240" w:lineRule="auto"/>
        <w:rPr>
          <w:rFonts w:ascii="Arial" w:eastAsia="Times New Roman" w:hAnsi="Arial" w:cs="Arial"/>
          <w:color w:val="000000"/>
          <w:lang w:eastAsia="en-GB"/>
        </w:rPr>
      </w:pPr>
    </w:p>
    <w:p w14:paraId="7521EA98" w14:textId="77777777" w:rsidR="005C7372" w:rsidRDefault="005C7372" w:rsidP="00CC4ABD">
      <w:pPr>
        <w:spacing w:after="0" w:line="240" w:lineRule="auto"/>
        <w:rPr>
          <w:rFonts w:ascii="Arial" w:hAnsi="Arial" w:cs="Arial"/>
          <w:b/>
        </w:rPr>
      </w:pPr>
    </w:p>
    <w:p w14:paraId="3131D26A" w14:textId="77777777" w:rsidR="005C7372" w:rsidRDefault="005C7372" w:rsidP="00CC4ABD">
      <w:pPr>
        <w:spacing w:after="0" w:line="240" w:lineRule="auto"/>
        <w:rPr>
          <w:rFonts w:ascii="Arial" w:hAnsi="Arial" w:cs="Arial"/>
          <w:b/>
        </w:rPr>
      </w:pPr>
    </w:p>
    <w:p w14:paraId="5F61F676" w14:textId="77777777" w:rsidR="005C7372" w:rsidRDefault="005C7372" w:rsidP="00CC4ABD">
      <w:pPr>
        <w:spacing w:after="0" w:line="240" w:lineRule="auto"/>
        <w:rPr>
          <w:rFonts w:ascii="Arial" w:hAnsi="Arial" w:cs="Arial"/>
          <w:b/>
        </w:rPr>
      </w:pPr>
    </w:p>
    <w:p w14:paraId="4C38F16C" w14:textId="77777777" w:rsidR="005C7372" w:rsidRDefault="005C7372" w:rsidP="00CC4ABD">
      <w:pPr>
        <w:spacing w:after="0" w:line="240" w:lineRule="auto"/>
        <w:rPr>
          <w:rFonts w:ascii="Arial" w:hAnsi="Arial" w:cs="Arial"/>
          <w:b/>
        </w:rPr>
      </w:pPr>
    </w:p>
    <w:p w14:paraId="3F928CEF" w14:textId="77777777" w:rsidR="005C7372" w:rsidRDefault="005C7372" w:rsidP="00CC4ABD">
      <w:pPr>
        <w:spacing w:after="0" w:line="240" w:lineRule="auto"/>
        <w:rPr>
          <w:rFonts w:ascii="Arial" w:hAnsi="Arial" w:cs="Arial"/>
          <w:b/>
        </w:rPr>
      </w:pPr>
    </w:p>
    <w:p w14:paraId="74357859" w14:textId="77777777" w:rsidR="005C7372" w:rsidRDefault="005C7372" w:rsidP="00CC4ABD">
      <w:pPr>
        <w:spacing w:after="0" w:line="240" w:lineRule="auto"/>
        <w:rPr>
          <w:rFonts w:ascii="Arial" w:hAnsi="Arial" w:cs="Arial"/>
          <w:b/>
        </w:rPr>
      </w:pPr>
    </w:p>
    <w:p w14:paraId="4256F222" w14:textId="77777777" w:rsidR="005C7372" w:rsidRDefault="005C7372" w:rsidP="00CC4ABD">
      <w:pPr>
        <w:spacing w:after="0" w:line="240" w:lineRule="auto"/>
        <w:rPr>
          <w:rFonts w:ascii="Arial" w:hAnsi="Arial" w:cs="Arial"/>
          <w:b/>
        </w:rPr>
      </w:pPr>
    </w:p>
    <w:p w14:paraId="1C93C950" w14:textId="77777777" w:rsidR="005C7372" w:rsidRDefault="005C7372" w:rsidP="00CC4ABD">
      <w:pPr>
        <w:spacing w:after="0" w:line="240" w:lineRule="auto"/>
        <w:rPr>
          <w:rFonts w:ascii="Arial" w:hAnsi="Arial" w:cs="Arial"/>
          <w:b/>
        </w:rPr>
      </w:pPr>
    </w:p>
    <w:p w14:paraId="6C9EB60F" w14:textId="77777777" w:rsidR="00506A03" w:rsidRPr="00252371" w:rsidRDefault="00252371" w:rsidP="00CC4ABD">
      <w:pPr>
        <w:spacing w:after="0" w:line="240" w:lineRule="auto"/>
        <w:rPr>
          <w:rFonts w:ascii="Arial" w:hAnsi="Arial" w:cs="Arial"/>
          <w:b/>
        </w:rPr>
      </w:pPr>
      <w:r w:rsidRPr="00252371">
        <w:rPr>
          <w:rFonts w:ascii="Arial" w:hAnsi="Arial" w:cs="Arial"/>
          <w:b/>
        </w:rPr>
        <w:t xml:space="preserve">Compiled by Ambassador </w:t>
      </w:r>
      <w:proofErr w:type="spellStart"/>
      <w:r w:rsidRPr="00252371">
        <w:rPr>
          <w:rFonts w:ascii="Arial" w:hAnsi="Arial" w:cs="Arial"/>
          <w:b/>
          <w:sz w:val="18"/>
          <w:szCs w:val="18"/>
        </w:rPr>
        <w:t>Dr.</w:t>
      </w:r>
      <w:proofErr w:type="spellEnd"/>
      <w:r w:rsidRPr="00252371">
        <w:rPr>
          <w:rFonts w:ascii="Arial" w:hAnsi="Arial" w:cs="Arial"/>
          <w:b/>
        </w:rPr>
        <w:t xml:space="preserve"> David P. Doyle</w:t>
      </w:r>
    </w:p>
    <w:p w14:paraId="1FBB5FE7" w14:textId="77777777" w:rsidR="00252371" w:rsidRPr="00512E52" w:rsidRDefault="00252371" w:rsidP="00252371">
      <w:pPr>
        <w:spacing w:after="0" w:line="240" w:lineRule="auto"/>
        <w:rPr>
          <w:rFonts w:ascii="Arial" w:hAnsi="Arial" w:cs="Arial"/>
        </w:rPr>
      </w:pPr>
      <w:r w:rsidRPr="00512E52">
        <w:rPr>
          <w:rFonts w:ascii="Arial" w:hAnsi="Arial" w:cs="Arial"/>
        </w:rPr>
        <w:t>EU Policy Director, the Genesis Initiative</w:t>
      </w:r>
      <w:r w:rsidR="00512E52" w:rsidRPr="00512E52">
        <w:rPr>
          <w:rFonts w:ascii="Arial" w:hAnsi="Arial" w:cs="Arial"/>
        </w:rPr>
        <w:t xml:space="preserve">                                 </w:t>
      </w:r>
      <w:r w:rsidR="006F53EA" w:rsidRPr="00512E52">
        <w:rPr>
          <w:rFonts w:ascii="Arial" w:hAnsi="Arial" w:cs="Arial"/>
        </w:rPr>
        <w:t xml:space="preserve">Brussels, </w:t>
      </w:r>
      <w:r w:rsidR="0045425C" w:rsidRPr="00512E52">
        <w:rPr>
          <w:rFonts w:ascii="Arial" w:hAnsi="Arial" w:cs="Arial"/>
        </w:rPr>
        <w:t>12</w:t>
      </w:r>
      <w:r w:rsidR="0045425C" w:rsidRPr="00512E52">
        <w:rPr>
          <w:rFonts w:ascii="Arial" w:hAnsi="Arial" w:cs="Arial"/>
          <w:vertAlign w:val="superscript"/>
        </w:rPr>
        <w:t>th</w:t>
      </w:r>
      <w:r w:rsidR="0045425C" w:rsidRPr="00512E52">
        <w:rPr>
          <w:rFonts w:ascii="Arial" w:hAnsi="Arial" w:cs="Arial"/>
        </w:rPr>
        <w:t xml:space="preserve"> </w:t>
      </w:r>
      <w:r w:rsidRPr="00512E52">
        <w:rPr>
          <w:rFonts w:ascii="Arial" w:hAnsi="Arial" w:cs="Arial"/>
        </w:rPr>
        <w:t>April 2020</w:t>
      </w:r>
    </w:p>
    <w:sectPr w:rsidR="00252371" w:rsidRPr="00512E5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72D62" w14:textId="77777777" w:rsidR="008E53B6" w:rsidRDefault="008E53B6" w:rsidP="006D2549">
      <w:pPr>
        <w:spacing w:after="0" w:line="240" w:lineRule="auto"/>
      </w:pPr>
      <w:r>
        <w:separator/>
      </w:r>
    </w:p>
  </w:endnote>
  <w:endnote w:type="continuationSeparator" w:id="0">
    <w:p w14:paraId="60B0DDE2" w14:textId="77777777" w:rsidR="008E53B6" w:rsidRDefault="008E53B6" w:rsidP="006D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F824F" w14:textId="77777777" w:rsidR="008E53B6" w:rsidRDefault="008E53B6" w:rsidP="006D2549">
      <w:pPr>
        <w:spacing w:after="0" w:line="240" w:lineRule="auto"/>
      </w:pPr>
      <w:r>
        <w:separator/>
      </w:r>
    </w:p>
  </w:footnote>
  <w:footnote w:type="continuationSeparator" w:id="0">
    <w:p w14:paraId="71CEA517" w14:textId="77777777" w:rsidR="008E53B6" w:rsidRDefault="008E53B6" w:rsidP="006D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106505"/>
      <w:docPartObj>
        <w:docPartGallery w:val="Page Numbers (Top of Page)"/>
        <w:docPartUnique/>
      </w:docPartObj>
    </w:sdtPr>
    <w:sdtEndPr>
      <w:rPr>
        <w:noProof/>
      </w:rPr>
    </w:sdtEndPr>
    <w:sdtContent>
      <w:p w14:paraId="4B8ACD06" w14:textId="77777777" w:rsidR="006D2549" w:rsidRDefault="006D2549">
        <w:pPr>
          <w:pStyle w:val="Header"/>
        </w:pPr>
        <w:r>
          <w:fldChar w:fldCharType="begin"/>
        </w:r>
        <w:r>
          <w:instrText xml:space="preserve"> PAGE   \* MERGEFORMAT </w:instrText>
        </w:r>
        <w:r>
          <w:fldChar w:fldCharType="separate"/>
        </w:r>
        <w:r w:rsidR="005C7372">
          <w:rPr>
            <w:noProof/>
          </w:rPr>
          <w:t>5</w:t>
        </w:r>
        <w:r>
          <w:rPr>
            <w:noProof/>
          </w:rPr>
          <w:fldChar w:fldCharType="end"/>
        </w:r>
      </w:p>
    </w:sdtContent>
  </w:sdt>
  <w:p w14:paraId="26E83F51" w14:textId="77777777" w:rsidR="006D2549" w:rsidRDefault="006D25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4F9E"/>
    <w:multiLevelType w:val="hybridMultilevel"/>
    <w:tmpl w:val="50F4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A31F5"/>
    <w:multiLevelType w:val="hybridMultilevel"/>
    <w:tmpl w:val="8C145D34"/>
    <w:lvl w:ilvl="0" w:tplc="7218A61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0139C4"/>
    <w:multiLevelType w:val="multilevel"/>
    <w:tmpl w:val="BCA0D1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FE96C3E"/>
    <w:multiLevelType w:val="hybridMultilevel"/>
    <w:tmpl w:val="B4CED8BA"/>
    <w:lvl w:ilvl="0" w:tplc="040C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25073DFA"/>
    <w:multiLevelType w:val="multilevel"/>
    <w:tmpl w:val="B112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4C2E38"/>
    <w:multiLevelType w:val="hybridMultilevel"/>
    <w:tmpl w:val="C91EF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23C0B"/>
    <w:multiLevelType w:val="multilevel"/>
    <w:tmpl w:val="795AF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044619"/>
    <w:multiLevelType w:val="multilevel"/>
    <w:tmpl w:val="C982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6A5B58"/>
    <w:multiLevelType w:val="multilevel"/>
    <w:tmpl w:val="0D92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5"/>
  </w:num>
  <w:num w:numId="4">
    <w:abstractNumId w:val="0"/>
  </w:num>
  <w:num w:numId="5">
    <w:abstractNumId w:val="4"/>
  </w:num>
  <w:num w:numId="6">
    <w:abstractNumId w:val="6"/>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79DA8-A7A2-4E42-9F13-7482E890EC19}"/>
    <w:docVar w:name="dgnword-eventsink" w:val="365880096"/>
  </w:docVars>
  <w:rsids>
    <w:rsidRoot w:val="008B160A"/>
    <w:rsid w:val="00086C3F"/>
    <w:rsid w:val="00093577"/>
    <w:rsid w:val="000D3BF9"/>
    <w:rsid w:val="001626C4"/>
    <w:rsid w:val="001E665C"/>
    <w:rsid w:val="00252371"/>
    <w:rsid w:val="003C3D16"/>
    <w:rsid w:val="003D1A88"/>
    <w:rsid w:val="0045425C"/>
    <w:rsid w:val="00506A03"/>
    <w:rsid w:val="00512E52"/>
    <w:rsid w:val="00551963"/>
    <w:rsid w:val="005C7372"/>
    <w:rsid w:val="006A0271"/>
    <w:rsid w:val="006D2549"/>
    <w:rsid w:val="006F53EA"/>
    <w:rsid w:val="00714066"/>
    <w:rsid w:val="007B53D8"/>
    <w:rsid w:val="008B160A"/>
    <w:rsid w:val="008E53B6"/>
    <w:rsid w:val="00923118"/>
    <w:rsid w:val="00934FD3"/>
    <w:rsid w:val="00AB6612"/>
    <w:rsid w:val="00B70B5F"/>
    <w:rsid w:val="00BC1B2A"/>
    <w:rsid w:val="00C53C82"/>
    <w:rsid w:val="00C758CC"/>
    <w:rsid w:val="00CC4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89C7"/>
  <w15:chartTrackingRefBased/>
  <w15:docId w15:val="{EA844543-D4C1-4897-9842-59BBE0434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8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1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160A"/>
    <w:rPr>
      <w:color w:val="0000FF"/>
      <w:u w:val="single"/>
    </w:rPr>
  </w:style>
  <w:style w:type="character" w:styleId="Emphasis">
    <w:name w:val="Emphasis"/>
    <w:basedOn w:val="DefaultParagraphFont"/>
    <w:uiPriority w:val="20"/>
    <w:qFormat/>
    <w:rsid w:val="008B160A"/>
    <w:rPr>
      <w:i/>
      <w:iCs/>
    </w:rPr>
  </w:style>
  <w:style w:type="paragraph" w:styleId="ListParagraph">
    <w:name w:val="List Paragraph"/>
    <w:basedOn w:val="Normal"/>
    <w:uiPriority w:val="34"/>
    <w:qFormat/>
    <w:rsid w:val="00086C3F"/>
    <w:pPr>
      <w:ind w:left="720"/>
      <w:contextualSpacing/>
    </w:pPr>
  </w:style>
  <w:style w:type="character" w:customStyle="1" w:styleId="Heading1Char">
    <w:name w:val="Heading 1 Char"/>
    <w:basedOn w:val="DefaultParagraphFont"/>
    <w:link w:val="Heading1"/>
    <w:uiPriority w:val="9"/>
    <w:rsid w:val="00C758C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D1A88"/>
    <w:rPr>
      <w:b/>
      <w:bCs/>
    </w:rPr>
  </w:style>
  <w:style w:type="paragraph" w:styleId="Header">
    <w:name w:val="header"/>
    <w:basedOn w:val="Normal"/>
    <w:link w:val="HeaderChar"/>
    <w:uiPriority w:val="99"/>
    <w:unhideWhenUsed/>
    <w:rsid w:val="006D254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D2549"/>
  </w:style>
  <w:style w:type="paragraph" w:styleId="Footer">
    <w:name w:val="footer"/>
    <w:basedOn w:val="Normal"/>
    <w:link w:val="FooterChar"/>
    <w:uiPriority w:val="99"/>
    <w:unhideWhenUsed/>
    <w:rsid w:val="006D254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D2549"/>
  </w:style>
  <w:style w:type="paragraph" w:styleId="BalloonText">
    <w:name w:val="Balloon Text"/>
    <w:basedOn w:val="Normal"/>
    <w:link w:val="BalloonTextChar"/>
    <w:uiPriority w:val="99"/>
    <w:semiHidden/>
    <w:unhideWhenUsed/>
    <w:rsid w:val="0016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697596">
      <w:bodyDiv w:val="1"/>
      <w:marLeft w:val="0"/>
      <w:marRight w:val="0"/>
      <w:marTop w:val="0"/>
      <w:marBottom w:val="0"/>
      <w:divBdr>
        <w:top w:val="none" w:sz="0" w:space="0" w:color="auto"/>
        <w:left w:val="none" w:sz="0" w:space="0" w:color="auto"/>
        <w:bottom w:val="none" w:sz="0" w:space="0" w:color="auto"/>
        <w:right w:val="none" w:sz="0" w:space="0" w:color="auto"/>
      </w:divBdr>
    </w:div>
    <w:div w:id="896358558">
      <w:bodyDiv w:val="1"/>
      <w:marLeft w:val="0"/>
      <w:marRight w:val="0"/>
      <w:marTop w:val="0"/>
      <w:marBottom w:val="0"/>
      <w:divBdr>
        <w:top w:val="none" w:sz="0" w:space="0" w:color="auto"/>
        <w:left w:val="none" w:sz="0" w:space="0" w:color="auto"/>
        <w:bottom w:val="none" w:sz="0" w:space="0" w:color="auto"/>
        <w:right w:val="none" w:sz="0" w:space="0" w:color="auto"/>
      </w:divBdr>
    </w:div>
    <w:div w:id="1043595415">
      <w:bodyDiv w:val="1"/>
      <w:marLeft w:val="0"/>
      <w:marRight w:val="0"/>
      <w:marTop w:val="0"/>
      <w:marBottom w:val="0"/>
      <w:divBdr>
        <w:top w:val="none" w:sz="0" w:space="0" w:color="auto"/>
        <w:left w:val="none" w:sz="0" w:space="0" w:color="auto"/>
        <w:bottom w:val="none" w:sz="0" w:space="0" w:color="auto"/>
        <w:right w:val="none" w:sz="0" w:space="0" w:color="auto"/>
      </w:divBdr>
    </w:div>
    <w:div w:id="1094284220">
      <w:bodyDiv w:val="1"/>
      <w:marLeft w:val="0"/>
      <w:marRight w:val="0"/>
      <w:marTop w:val="0"/>
      <w:marBottom w:val="0"/>
      <w:divBdr>
        <w:top w:val="none" w:sz="0" w:space="0" w:color="auto"/>
        <w:left w:val="none" w:sz="0" w:space="0" w:color="auto"/>
        <w:bottom w:val="none" w:sz="0" w:space="0" w:color="auto"/>
        <w:right w:val="none" w:sz="0" w:space="0" w:color="auto"/>
      </w:divBdr>
    </w:div>
    <w:div w:id="1485004158">
      <w:bodyDiv w:val="1"/>
      <w:marLeft w:val="0"/>
      <w:marRight w:val="0"/>
      <w:marTop w:val="0"/>
      <w:marBottom w:val="0"/>
      <w:divBdr>
        <w:top w:val="none" w:sz="0" w:space="0" w:color="auto"/>
        <w:left w:val="none" w:sz="0" w:space="0" w:color="auto"/>
        <w:bottom w:val="none" w:sz="0" w:space="0" w:color="auto"/>
        <w:right w:val="none" w:sz="0" w:space="0" w:color="auto"/>
      </w:divBdr>
    </w:div>
    <w:div w:id="1648626953">
      <w:bodyDiv w:val="1"/>
      <w:marLeft w:val="0"/>
      <w:marRight w:val="0"/>
      <w:marTop w:val="0"/>
      <w:marBottom w:val="0"/>
      <w:divBdr>
        <w:top w:val="none" w:sz="0" w:space="0" w:color="auto"/>
        <w:left w:val="none" w:sz="0" w:space="0" w:color="auto"/>
        <w:bottom w:val="none" w:sz="0" w:space="0" w:color="auto"/>
        <w:right w:val="none" w:sz="0" w:space="0" w:color="auto"/>
      </w:divBdr>
    </w:div>
    <w:div w:id="1716541996">
      <w:bodyDiv w:val="1"/>
      <w:marLeft w:val="0"/>
      <w:marRight w:val="0"/>
      <w:marTop w:val="0"/>
      <w:marBottom w:val="0"/>
      <w:divBdr>
        <w:top w:val="none" w:sz="0" w:space="0" w:color="auto"/>
        <w:left w:val="none" w:sz="0" w:space="0" w:color="auto"/>
        <w:bottom w:val="none" w:sz="0" w:space="0" w:color="auto"/>
        <w:right w:val="none" w:sz="0" w:space="0" w:color="auto"/>
      </w:divBdr>
    </w:div>
    <w:div w:id="2079478819">
      <w:bodyDiv w:val="1"/>
      <w:marLeft w:val="0"/>
      <w:marRight w:val="0"/>
      <w:marTop w:val="0"/>
      <w:marBottom w:val="0"/>
      <w:divBdr>
        <w:top w:val="none" w:sz="0" w:space="0" w:color="auto"/>
        <w:left w:val="none" w:sz="0" w:space="0" w:color="auto"/>
        <w:bottom w:val="none" w:sz="0" w:space="0" w:color="auto"/>
        <w:right w:val="none" w:sz="0" w:space="0" w:color="auto"/>
      </w:divBdr>
      <w:divsChild>
        <w:div w:id="7952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communication-coordinated-economic-response-covid19-march-2020_en.pdf" TargetMode="External"/><Relationship Id="rId13" Type="http://schemas.openxmlformats.org/officeDocument/2006/relationships/hyperlink" Target="http://www.eif.org/what_we_do/guarantees/single_eu_debt_instrument/innovfin-guarantee-facility/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if.org/what_we_do/guarantees/single_eu_debt_instrument/cosme-loan-facility-growth/index.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c.europa.eu/commission/presscorner/detail/en/IP_20_582" TargetMode="External"/><Relationship Id="rId4" Type="http://schemas.openxmlformats.org/officeDocument/2006/relationships/webSettings" Target="webSettings.xml"/><Relationship Id="rId9" Type="http://schemas.openxmlformats.org/officeDocument/2006/relationships/hyperlink" Target="https://www.eif.org/what_we_do/covid-19-response/index.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Doyle</dc:creator>
  <cp:keywords/>
  <dc:description/>
  <cp:lastModifiedBy>David Harvey</cp:lastModifiedBy>
  <cp:revision>2</cp:revision>
  <cp:lastPrinted>2020-04-10T11:16:00Z</cp:lastPrinted>
  <dcterms:created xsi:type="dcterms:W3CDTF">2020-05-11T08:56:00Z</dcterms:created>
  <dcterms:modified xsi:type="dcterms:W3CDTF">2020-05-11T08:56:00Z</dcterms:modified>
</cp:coreProperties>
</file>